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47100B" w:rsidP="0047100B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eastAsia="Times New Roman"/>
          <w:bCs/>
          <w:noProof/>
        </w:rPr>
        <w:drawing>
          <wp:inline distT="0" distB="0" distL="0" distR="0" wp14:anchorId="48EF85D8" wp14:editId="27EE8BA2">
            <wp:extent cx="2022991" cy="1289595"/>
            <wp:effectExtent l="0" t="0" r="0" b="6350"/>
            <wp:docPr id="1" name="Рисунок 1" descr="Изображение выглядит как ед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8.35.3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625" cy="130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0D4481" w:rsidRPr="000D44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0D4481" w:rsidRDefault="000D4481" w:rsidP="00DB597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2D4697" w:rsidRPr="004F0193">
        <w:rPr>
          <w:rFonts w:ascii="Times New Roman" w:eastAsia="Times New Roman" w:hAnsi="Times New Roman"/>
          <w:sz w:val="24"/>
          <w:szCs w:val="24"/>
          <w:lang w:eastAsia="ru-RU"/>
        </w:rPr>
        <w:t>09.03.03 ПРИКЛАДНАЯ ИНФОРМАТИКА</w:t>
      </w:r>
    </w:p>
    <w:p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 w:rsidR="002D4697" w:rsidRPr="002D4697">
        <w:rPr>
          <w:rFonts w:ascii="Times New Roman" w:eastAsia="Times New Roman" w:hAnsi="Times New Roman"/>
          <w:sz w:val="24"/>
          <w:szCs w:val="24"/>
          <w:lang w:eastAsia="ru-RU"/>
        </w:rPr>
        <w:t>Прикладная информатика в менеджменте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2D469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0D448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156FA9" w:rsidRPr="00156FA9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56FA9" w:rsidRPr="00156FA9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6FA9" w:rsidRPr="00156FA9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156FA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6FA9" w:rsidRPr="00156FA9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156FA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56FA9" w:rsidRPr="00156FA9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156FA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56FA9" w:rsidRPr="00156FA9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156FA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56FA9" w:rsidRPr="00156FA9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156FA9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C4387" w:rsidRPr="000C4387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2D4697" w:rsidRPr="00C21CF8" w:rsidRDefault="002D4697" w:rsidP="002D46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 государственного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высшего образования по направлениям подготовки:</w:t>
      </w:r>
    </w:p>
    <w:p w:rsidR="002D4697" w:rsidRDefault="002D4697" w:rsidP="002D46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09.03.03Прикладная информатика, утв. приказом Министерства образования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науки РФ от 12.03.2015 № 207</w:t>
      </w:r>
    </w:p>
    <w:p w:rsidR="002D4697" w:rsidRPr="00C21CF8" w:rsidRDefault="002D4697" w:rsidP="002D46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D4697" w:rsidRPr="00C21CF8" w:rsidRDefault="002D4697" w:rsidP="002D46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              Учебного плана по направлению подготовки 09.03.09 Прикладная информатика, профилю подготовки Прикладная информатика в менеджменте, утв. Учёным советом НГПУ им. К.Минина от 30.08.17г., №13.</w:t>
      </w:r>
    </w:p>
    <w:p w:rsidR="002D4697" w:rsidRDefault="002D4697" w:rsidP="002D469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D4697" w:rsidRDefault="002D4697" w:rsidP="002D469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D4697" w:rsidRPr="00DB597C" w:rsidRDefault="002D4697" w:rsidP="002D469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 к.п.н, доц. Кутепов М.М.</w:t>
      </w:r>
    </w:p>
    <w:p w:rsidR="002D4697" w:rsidRPr="00DB597C" w:rsidRDefault="002D4697" w:rsidP="002D469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D4697" w:rsidRPr="00DB597C" w:rsidRDefault="002D4697" w:rsidP="002D46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4697" w:rsidRDefault="002D4697" w:rsidP="002D46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4697" w:rsidRDefault="002D4697" w:rsidP="002D46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4697" w:rsidRPr="000C4387" w:rsidRDefault="002D4697" w:rsidP="002D46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кафедры </w:t>
      </w:r>
      <w:r w:rsidRPr="004F0193">
        <w:rPr>
          <w:rFonts w:ascii="Times New Roman" w:eastAsia="Times New Roman" w:hAnsi="Times New Roman"/>
          <w:sz w:val="24"/>
          <w:szCs w:val="24"/>
          <w:lang w:eastAsia="ru-RU"/>
        </w:rPr>
        <w:t>Прикладной информатики и информационных технологий в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(протоко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 № 16 от 29.08.2017)</w:t>
      </w:r>
    </w:p>
    <w:p w:rsidR="002D4697" w:rsidRPr="000C4387" w:rsidRDefault="002D4697" w:rsidP="002D46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 w:rsidRPr="00C21C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Э.К.Самерханова</w:t>
      </w: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2D4697" w:rsidRDefault="002D4697" w:rsidP="002D46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____________________________/ М.А.Пыжьянова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_________________/ И.Ф.Фильченкова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E23A7B" w:rsidRPr="00E23A7B">
        <w:rPr>
          <w:rFonts w:ascii="Times New Roman" w:eastAsia="Times New Roman" w:hAnsi="Times New Roman"/>
          <w:bCs/>
          <w:sz w:val="24"/>
          <w:szCs w:val="24"/>
          <w:lang w:eastAsia="ru-RU"/>
        </w:rPr>
        <w:t>Б1.Б.01</w:t>
      </w:r>
      <w:r w:rsidR="00E23A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-Общая физическая подготовка (Круговая тренировка)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E572E7" w:rsidRDefault="00E572E7" w:rsidP="00E57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6FA9" w:rsidRDefault="00156FA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F857DA" w:rsidRPr="00F857DA" w:rsidTr="00F857DA">
        <w:trPr>
          <w:trHeight w:hRule="exact" w:val="536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2D4697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8 </w:t>
            </w:r>
            <w:r w:rsidRPr="004F0193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Знать: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91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113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6FA9" w:rsidRPr="00DB597C" w:rsidRDefault="00156FA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156FA9" w:rsidRDefault="00DB597C" w:rsidP="00156FA9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6F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156FA9" w:rsidRPr="00156FA9" w:rsidRDefault="00156FA9" w:rsidP="00156FA9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F857DA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F857DA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F857DA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F857DA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F857DA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663200" w:rsidRPr="00F857DA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F857DA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F857DA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F857DA" w:rsidRDefault="00156FA9" w:rsidP="002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ОК-</w:t>
            </w:r>
            <w:r w:rsidR="002D469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F857DA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Контрольные нормативы</w:t>
            </w:r>
            <w:r>
              <w:rPr>
                <w:rFonts w:ascii="Times New Roman" w:eastAsia="Times New Roman" w:hAnsi="Times New Roman"/>
                <w:lang w:eastAsia="ru-RU"/>
              </w:rPr>
              <w:t>,  тестирование в ЭИОС</w:t>
            </w:r>
          </w:p>
        </w:tc>
      </w:tr>
      <w:tr w:rsidR="00663200" w:rsidRPr="00F857DA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F857DA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F857DA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F857DA" w:rsidRDefault="00156FA9" w:rsidP="002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ОК-</w:t>
            </w:r>
            <w:r w:rsidR="002D469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F857DA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Контрольные нормативы</w:t>
            </w:r>
            <w:r w:rsidR="00BF5E6E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F857DA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</w:tr>
    </w:tbl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6FA9" w:rsidRPr="00DB597C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0"/>
        <w:gridCol w:w="707"/>
        <w:gridCol w:w="846"/>
        <w:gridCol w:w="1131"/>
        <w:gridCol w:w="1233"/>
        <w:gridCol w:w="1027"/>
      </w:tblGrid>
      <w:tr w:rsidR="00EE6E6B" w:rsidRPr="00EE6E6B" w:rsidTr="00EE6E6B">
        <w:trPr>
          <w:trHeight w:val="203"/>
        </w:trPr>
        <w:tc>
          <w:tcPr>
            <w:tcW w:w="4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E6E6B" w:rsidRPr="00EE6E6B" w:rsidTr="00EE6E6B">
        <w:trPr>
          <w:trHeight w:val="533"/>
        </w:trPr>
        <w:tc>
          <w:tcPr>
            <w:tcW w:w="49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внеучебных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оценки уровня здоровья.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освоения элементов ППФП.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Методика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физических качеств.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Методика проведения малых форм физиче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культуры в режиме дня.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твами физической культуры</w:t>
            </w:r>
            <w:r w:rsidR="0098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480EAE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987D79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6FA9" w:rsidRDefault="00156FA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6FA9" w:rsidRDefault="00156FA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6FA9" w:rsidRDefault="00156FA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6FA9" w:rsidRPr="00987D79" w:rsidRDefault="00156FA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702"/>
        <w:gridCol w:w="1701"/>
        <w:gridCol w:w="1134"/>
        <w:gridCol w:w="851"/>
        <w:gridCol w:w="814"/>
      </w:tblGrid>
      <w:tr w:rsidR="00F67CFB" w:rsidRPr="00BF5E6E" w:rsidTr="00BF5E6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BF5E6E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BF5E6E" w:rsidTr="00BF5E6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87D79" w:rsidRPr="00BF5E6E" w:rsidTr="00E720A4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987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Раздел1.Теоретический</w:t>
            </w:r>
          </w:p>
        </w:tc>
      </w:tr>
      <w:tr w:rsidR="00F67CFB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987D79" w:rsidP="00996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987D79" w:rsidP="0099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7D79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960A3" w:rsidRPr="00BF5E6E" w:rsidTr="00C17ADD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99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9960A3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996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F5E6E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 w:rsidP="00541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 w:rsidP="00541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7CFB" w:rsidRPr="00BF5E6E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22A35" w:rsidRDefault="00922A35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76A6B" w:rsidRPr="00922A35" w:rsidRDefault="00C76A6B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F2280" w:rsidRPr="002F2280" w:rsidRDefault="002F2280" w:rsidP="002F2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1.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>Физическая культура : учебник / Л.В. Захарова, Н.В. Люлина,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с. : ил. - Библиогр.: с. 608-609. - ISBN 978-5-7638-3640-0 ; То же [Электронный ресурс]. - URL: http://biblioclub.ru/index.php?page=book&amp;id=497151</w:t>
      </w:r>
    </w:p>
    <w:p w:rsidR="002F2280" w:rsidRPr="002F2280" w:rsidRDefault="002F2280" w:rsidP="002F2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2.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>Небытова, Л.А. Физическая культура : учебное пособие / Л.А. Небытова, М.В. Катренко, Н.И. Соколова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- 269 с. : ил. - Библиогр.: с. 263-267. ; То же [Электронный ресурс]. - URL: http://biblioclub.ru/index.php?page=book&amp;id=483844</w:t>
      </w:r>
    </w:p>
    <w:p w:rsidR="002F2280" w:rsidRDefault="002F2280" w:rsidP="002F2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3.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 xml:space="preserve">Чеснова, Е.Л. Физическая культура : учебное пособие / Е.Л. Чеснова. - Москва : Директ-Медиа, 2013. - 160 с. - Библиогр. в кн. - ISBN 978-5-4458-3076-4 ; То же [Электронный ресурс]. - URL: </w:t>
      </w:r>
      <w:hyperlink r:id="rId9" w:history="1">
        <w:r w:rsidRPr="007A16E3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http://biblioclub.ru/index.php?page=book&amp;id=210945</w:t>
        </w:r>
      </w:hyperlink>
    </w:p>
    <w:p w:rsidR="00922A35" w:rsidRPr="00922A35" w:rsidRDefault="00922A35" w:rsidP="002F2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F2280" w:rsidRPr="002F2280" w:rsidRDefault="00922A35" w:rsidP="002F22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A35">
        <w:rPr>
          <w:rFonts w:ascii="Times New Roman" w:hAnsi="Times New Roman"/>
          <w:sz w:val="24"/>
          <w:szCs w:val="24"/>
          <w:lang w:eastAsia="ru-RU"/>
        </w:rPr>
        <w:t xml:space="preserve">. высш. учеб. заведений – 4-е изд. -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2007. – 144 с.</w:t>
      </w:r>
      <w:r w:rsidR="002F2280" w:rsidRPr="002F2280">
        <w:rPr>
          <w:rFonts w:ascii="Times New Roman" w:hAnsi="Times New Roman"/>
          <w:sz w:val="24"/>
          <w:szCs w:val="24"/>
          <w:lang w:eastAsia="ru-RU"/>
        </w:rPr>
        <w:t xml:space="preserve"> 1.</w:t>
      </w:r>
      <w:r w:rsidR="002F2280" w:rsidRPr="002F2280">
        <w:rPr>
          <w:rFonts w:ascii="Times New Roman" w:hAnsi="Times New Roman"/>
          <w:sz w:val="24"/>
          <w:szCs w:val="24"/>
          <w:lang w:eastAsia="ru-RU"/>
        </w:rPr>
        <w:tab/>
        <w:t xml:space="preserve">Шамрай, С.Д. Физическая культура : учебное пособие / С.Д. Шамрай, И.В. Кивихарью ; Министерство образования и науки Российской Федерации, Высшая школа народных </w:t>
      </w:r>
      <w:r w:rsidR="002F2280" w:rsidRPr="002F2280">
        <w:rPr>
          <w:rFonts w:ascii="Times New Roman" w:hAnsi="Times New Roman"/>
          <w:sz w:val="24"/>
          <w:szCs w:val="24"/>
          <w:lang w:eastAsia="ru-RU"/>
        </w:rPr>
        <w:lastRenderedPageBreak/>
        <w:t>искусств (институт). - Санкт-Петербург : Высшая школа народных искусств, 2016. - 106 с. : табл., схем. - Библиогр. в кн. - ISBN 978-5-906697-32-5 ; То же [Электронный ресурс]. - URL: http://biblioclub.ru/index.php?page=book&amp;id=499657</w:t>
      </w:r>
    </w:p>
    <w:p w:rsidR="002F2280" w:rsidRPr="002F2280" w:rsidRDefault="002F2280" w:rsidP="002F22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2.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>Физическая культура: учебно-методический комплекс (для студентов экономических специальностей) : учебное пособие / С.И. Бочкарева, О.П. Кокоулина, Н.Е. Копылова и др. - Москва : Евразийский открытый институт, 2011. - 344 с. - ISBN 978-5-374-00521-9 ; То же [Электронный ресурс]. - URL: http://biblioclub.ru/index.php?page=book&amp;id=90775</w:t>
      </w:r>
    </w:p>
    <w:p w:rsidR="002F2280" w:rsidRPr="002F2280" w:rsidRDefault="002F2280" w:rsidP="002F22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3.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>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http://biblioclub.ru/index.php?page=book&amp;id=475389</w:t>
      </w:r>
    </w:p>
    <w:p w:rsidR="00922A35" w:rsidRPr="00922A35" w:rsidRDefault="002F2280" w:rsidP="002F2280">
      <w:pPr>
        <w:spacing w:after="0" w:line="240" w:lineRule="auto"/>
        <w:ind w:firstLine="709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4.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>Глазина, Т.А. Лечебная физическая культура: практикум для студентов специальной медицинской группы : учебное пособие / Т.А. Глазина, М.И. Кабышева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- 125 с. : ил. - Библиогр. в кн. - ISBN 978-5-7410-1776-0 ; То же [Электронный ресурс]. - URL: http://biblioclub.ru/index.php?page=book&amp;id=485284</w:t>
      </w:r>
    </w:p>
    <w:p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22A35" w:rsidRPr="00922A35" w:rsidRDefault="00922A35" w:rsidP="00922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922A35" w:rsidRPr="00922A35" w:rsidRDefault="00922A35" w:rsidP="00922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3. Подвижные игры и «Веселые старты» в профессионально-педагогической подготовке будущих учителей</w:t>
      </w:r>
      <w:r w:rsidRPr="00922A3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пособие; Сост. Н.И. Кулакова, В.А. Кузнецов, Е.Ю. Брюсов, А.Б. Смирнов, С.В. Лемаев  – Н.Новгород: НГПУ им. К.Минина, 2012. - 82 с.</w:t>
      </w:r>
    </w:p>
    <w:p w:rsidR="00922A35" w:rsidRPr="00922A35" w:rsidRDefault="00922A35" w:rsidP="00922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4. Профессионально-педагогическая подготовка студентов на примере туризма: Учебно-методическое пособие/А.Б.Смирнов и др.- Н.Новгород: Миннский университет, 2014.- 63с.</w:t>
      </w:r>
    </w:p>
    <w:p w:rsidR="00922A35" w:rsidRPr="00922A35" w:rsidRDefault="00922A35" w:rsidP="00922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Кузнецов В.А., Смирнов А.Б. Теоретические основы физкультурно-педагогической деятельности: Учебное пособие/ под общ. ред. В.А.Кузнецова. - Н.Новгород: Миннский университет, 2014.- 158 с.</w:t>
      </w:r>
    </w:p>
    <w:p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6. Учебно-методический комплекс «Физическая культура» / разработчики – Смирнов А.Б., Кузнецов В.А., утв. проректором по УМД НГПУ им. К.Минина Папутковой Г.А. 03.09.2014г.</w:t>
      </w:r>
    </w:p>
    <w:p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lastRenderedPageBreak/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22A35" w:rsidRPr="00922A35" w:rsidRDefault="00922A35" w:rsidP="00922A35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22A35" w:rsidRPr="00922A35" w:rsidRDefault="00922A35" w:rsidP="00922A35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922A35" w:rsidRPr="00922A35" w:rsidRDefault="00922A35" w:rsidP="00922A35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2A35" w:rsidRPr="00922A35" w:rsidRDefault="00922A35" w:rsidP="00922A35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922A35" w:rsidRPr="00922A35" w:rsidRDefault="00922A35" w:rsidP="00922A35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DB597C" w:rsidRPr="00BF5E6E" w:rsidRDefault="00922A35" w:rsidP="00BF5E6E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sectPr w:rsidR="00DB597C" w:rsidRPr="00BF5E6E" w:rsidSect="002861AF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33E9" w:rsidRDefault="00AB33E9" w:rsidP="00CA7167">
      <w:pPr>
        <w:spacing w:after="0" w:line="240" w:lineRule="auto"/>
      </w:pPr>
      <w:r>
        <w:separator/>
      </w:r>
    </w:p>
  </w:endnote>
  <w:endnote w:type="continuationSeparator" w:id="0">
    <w:p w:rsidR="00AB33E9" w:rsidRDefault="00AB33E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33E9" w:rsidRDefault="00AB33E9" w:rsidP="00CA7167">
      <w:pPr>
        <w:spacing w:after="0" w:line="240" w:lineRule="auto"/>
      </w:pPr>
      <w:r>
        <w:separator/>
      </w:r>
    </w:p>
  </w:footnote>
  <w:footnote w:type="continuationSeparator" w:id="0">
    <w:p w:rsidR="00AB33E9" w:rsidRDefault="00AB33E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444E1"/>
    <w:rsid w:val="0014613F"/>
    <w:rsid w:val="00156FA9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D4697"/>
    <w:rsid w:val="002F2280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F331D"/>
    <w:rsid w:val="0041524A"/>
    <w:rsid w:val="00442F3F"/>
    <w:rsid w:val="004551EE"/>
    <w:rsid w:val="00463B74"/>
    <w:rsid w:val="00466E62"/>
    <w:rsid w:val="0047100B"/>
    <w:rsid w:val="00480EAE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50BF5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95872"/>
    <w:rsid w:val="006C10A5"/>
    <w:rsid w:val="006E62D8"/>
    <w:rsid w:val="006F2C2C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12CEF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51284"/>
    <w:rsid w:val="009529DA"/>
    <w:rsid w:val="009633E5"/>
    <w:rsid w:val="009661C3"/>
    <w:rsid w:val="00981269"/>
    <w:rsid w:val="0098333E"/>
    <w:rsid w:val="00987D79"/>
    <w:rsid w:val="009960A3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3E9"/>
    <w:rsid w:val="00AB3AAE"/>
    <w:rsid w:val="00B0005B"/>
    <w:rsid w:val="00B051C3"/>
    <w:rsid w:val="00B243C4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BF5E6E"/>
    <w:rsid w:val="00C12476"/>
    <w:rsid w:val="00C12AB6"/>
    <w:rsid w:val="00C1734C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149C"/>
    <w:rsid w:val="00CA7167"/>
    <w:rsid w:val="00CB5348"/>
    <w:rsid w:val="00CB54AF"/>
    <w:rsid w:val="00CC3E9E"/>
    <w:rsid w:val="00CD3425"/>
    <w:rsid w:val="00CF752F"/>
    <w:rsid w:val="00D16354"/>
    <w:rsid w:val="00D33684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572E7"/>
    <w:rsid w:val="00E57B2E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57DA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04CC6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styleId="af5">
    <w:name w:val="Hyperlink"/>
    <w:basedOn w:val="a0"/>
    <w:uiPriority w:val="99"/>
    <w:unhideWhenUsed/>
    <w:rsid w:val="002F22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109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4A7BC-EFDC-4487-A77B-76E99427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Steve Winfrey</cp:lastModifiedBy>
  <cp:revision>10</cp:revision>
  <cp:lastPrinted>2018-02-27T13:02:00Z</cp:lastPrinted>
  <dcterms:created xsi:type="dcterms:W3CDTF">2019-03-05T13:28:00Z</dcterms:created>
  <dcterms:modified xsi:type="dcterms:W3CDTF">2020-06-15T15:37:00Z</dcterms:modified>
</cp:coreProperties>
</file>