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МИНПРОСВЕЩЕНИЯ РОССИИ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имени Козьмы Минина»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Факультет естественных, математических и компьютерных наук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Кафедра экологического образования и рационального природопользования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/>
        <w:jc w:val="left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ab/>
        <w:tab/>
        <w:tab/>
        <w:tab/>
        <w:t xml:space="preserve">         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«_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21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г.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4"/>
        <w:gridCol w:w="6252"/>
      </w:tblGrid>
      <w:tr>
        <w:trPr>
          <w:trHeight w:val="30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05.03.06 Экология и природопользование</w:t>
            </w:r>
          </w:p>
        </w:tc>
      </w:tr>
      <w:tr>
        <w:trPr>
          <w:trHeight w:val="146" w:hRule="atLeast"/>
        </w:trPr>
        <w:tc>
          <w:tcPr>
            <w:tcW w:w="9396" w:type="dxa"/>
            <w:gridSpan w:val="2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652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Экологический менеджмент и аудит</w:t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</w:tr>
      <w:tr>
        <w:trPr>
          <w:trHeight w:val="62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бакалавр</w:t>
            </w:r>
          </w:p>
        </w:tc>
      </w:tr>
      <w:tr>
        <w:trPr>
          <w:trHeight w:val="209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314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0"/>
                <w:szCs w:val="20"/>
                <w:lang w:eastAsia="ar-SA"/>
              </w:rPr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научно-исследовательская работа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8348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624"/>
        <w:gridCol w:w="2464"/>
        <w:gridCol w:w="4260"/>
      </w:tblGrid>
      <w:tr>
        <w:trPr>
          <w:trHeight w:val="456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ind w:firstLine="12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Трудоемкость  з.е.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>
        <w:trPr>
          <w:trHeight w:val="289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7/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3/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зачёт с оценкой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г. Нижний Новгород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2021 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составлена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 xml:space="preserve">Профессионального стандарта «Специалист по экологической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безопасности (в промышленности)», утв. приказом Министерства труда и социальной защиты Российской Федерации о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т 07 сентября 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Программа Производственной практики Научно-исследовательская работа принята на </w:t>
      </w:r>
      <w:bookmarkStart w:id="0" w:name="_GoBack"/>
      <w:r>
        <w:rPr>
          <w:rFonts w:eastAsia="Times New Roman" w:ascii="Times New Roman" w:hAnsi="Times New Roman"/>
          <w:sz w:val="28"/>
          <w:szCs w:val="28"/>
          <w:lang w:eastAsia="ar-SA"/>
        </w:rPr>
        <w:t>заседании кафедры Экологического образования и рационального приро</w:t>
      </w:r>
      <w:bookmarkEnd w:id="0"/>
      <w:r>
        <w:rPr>
          <w:rFonts w:eastAsia="Times New Roman" w:ascii="Times New Roman" w:hAnsi="Times New Roman"/>
          <w:sz w:val="28"/>
          <w:szCs w:val="28"/>
          <w:lang w:eastAsia="ar-SA"/>
        </w:rPr>
        <w:t>допользования от «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04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» 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20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21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г. протокол № 7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Разработчик: Матвеева А.В., к.пед.н.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Цели и задачи научно-исследовательской работы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научно-исследовательской работы является создание условий для  развития научно-исследовательского мышления обучающихся,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закрепления теоретических знаний и практических навыков, полученных во время аудиторных занятий, самостоятельной работы и учебных практик; развитие научно-исследовательских компетенций: приобретения навыков сбора, обработки, анализа и синтеза необходимых научно-практических материалов для написания научной работы, курсовой работы, размещения результатов своей научно-исследовательской работы в научных изданиях.</w:t>
      </w:r>
    </w:p>
    <w:p>
      <w:pPr>
        <w:pStyle w:val="ListParagraph"/>
        <w:tabs>
          <w:tab w:val="clear" w:pos="709"/>
          <w:tab w:val="right" w:pos="9356" w:leader="underscore"/>
        </w:tabs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right" w:pos="9639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Задачами научно-исследовательской работы является: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развитию научно-исследовательского мышления, научно-исследовательских компетенций; формированию представления о способах решения профессиональных задач.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8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получения навыков научно-исследовательской деятельности;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8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получения опыта проектной деятельности;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умений применять основные 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принципы и законы рационального </w:t>
      </w:r>
      <w:r>
        <w:rPr>
          <w:rFonts w:ascii="Times New Roman" w:hAnsi="Times New Roman"/>
          <w:sz w:val="24"/>
          <w:szCs w:val="24"/>
        </w:rPr>
        <w:t>природопользования и охраны окружающей среды в своей профессиональной деятельности;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готовность к профессиональному самосовершенствованию и  саморазвитию  творческого потенциала, профессионального мастерства.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pacing w:lineRule="auto" w:line="240" w:before="0" w:after="0"/>
        <w:ind w:left="720" w:hanging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научно-исследовательской работы, соотнесенных с планируемыми результатами освоения ОПОП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учебной/производственной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74"/>
        <w:gridCol w:w="2645"/>
        <w:gridCol w:w="2415"/>
        <w:gridCol w:w="2735"/>
      </w:tblGrid>
      <w:tr>
        <w:trPr/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знать: основные экологические  и геоэкологические принципы и законы рационального природопользования;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уметь: применять основные экологические и геоэкологические принципы и законы при проектировании  основ рационального природопользования;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владеть: навыками проектирования хозяйственной деятельности и охраны окружающей среды  с учётом основных законов и принципов рационального природопользования</w:t>
            </w:r>
          </w:p>
        </w:tc>
      </w:tr>
      <w:tr>
        <w:trPr/>
        <w:tc>
          <w:tcPr>
            <w:tcW w:w="1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научно-экологические и нормативно-правовые  основы природопользования, охраны природы и наук об окружающей среде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теоретические знания природопользования, охраны природы и наук об окружающей среде в профессиональной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владеть: навыками проектирования хозяйственной деятельности и охраны окружающей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среды  в контексте ранее накопленных в науке знаний</w:t>
            </w:r>
          </w:p>
        </w:tc>
      </w:tr>
      <w:tr>
        <w:trPr>
          <w:trHeight w:val="808" w:hRule="atLeast"/>
        </w:trPr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Способен применять базовые методы экологических исследований для решения задач профессиональной деятельности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применять эмпирические методы экологических исследований для решения задач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знать: современные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эмпирические методы проведения экологических исследований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уметь: проектировать и проводить эмпирические исследования в области экологии, интерпретировать результаты исследований, делать выводы;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владеть: навыками работы с лабораторным оборудованием, необходимым для решения задач профессиональной деятельности</w:t>
            </w:r>
          </w:p>
        </w:tc>
      </w:tr>
      <w:tr>
        <w:trPr>
          <w:trHeight w:val="807" w:hRule="atLeast"/>
        </w:trPr>
        <w:tc>
          <w:tcPr>
            <w:tcW w:w="1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Способен применять </w:t>
            </w:r>
            <w:bookmarkStart w:id="1" w:name="_GoBack1"/>
            <w:bookmarkEnd w:id="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методы экологических исследований для решения задач профессиональной деятельности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знать: основные теоретические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проведения экологических исследований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уметь: проектировать и проводить теоретические исследования в области экологии, интерпретировать результаты исследований, делать выводы;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владеть: навыками сбора, критического анализа и интерпретации научно-экологической информации по теме ииследования</w:t>
            </w:r>
          </w:p>
        </w:tc>
      </w:tr>
      <w:tr>
        <w:trPr/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  <w:t>ОПК-6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ОПК 6.1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Способен к проектной деятельности в профессиональной сфере деятельности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проектной деятельности в области природопользования и охраны окружающей среды; научно-правовые основы поиска, анализа, интерпретации и распространения результатов своей проектной  и научно-исследовательской деятельности в профессиональной сфере;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уметь: обобщать, систематизировать и применять в научно-исследовательской деятельности полученные результаты исследований; проводить комплексные исследования экологических проблем в области природопользования и охраны окружающей среды;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rFonts w:ascii="Times New Roman" w:hAnsi="Times New Roman"/>
                <w:sz w:val="24"/>
                <w:szCs w:val="24"/>
              </w:rPr>
              <w:t>основными средствами, приемами и методами проектной  деятельности для решения профессиональных и научно-исследовательских задач</w:t>
            </w:r>
          </w:p>
        </w:tc>
      </w:tr>
      <w:tr>
        <w:trPr/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ОПК-6.2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Способен к распространению результатов своей научно-исследовательской деятельности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знать: основные способы распространения и публикации результатов своей научно-исследовательской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уметь: оформлять результаты своей НИР согласно требованиям;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владеть: навыками публичного выступления, защиты и обсуждения результатов своей НИР</w:t>
            </w:r>
          </w:p>
        </w:tc>
      </w:tr>
    </w:tbl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научно-исследовательской работы в структуре ОПОП бакалавриата 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Научно-исследовательская работа является обязательным элементом в структуре ОПОП по направлению подготовки 05.03.06 Экология и природопользование, отвечающим за обобщение и конкретизацию научно-теоретических и методологических знаний, полученных студентами в ходе изучения теоретических основ дисциплин, входящих в модули «Основы экологии и природопользования», «Биоэкология и охрана окружающей среды», «Социальная экология и экология человека», «Исследования и обработка информации в природопользовании», а также дисциплин «Оценка воздействия на окружающую среду», «Правовые основы природопользования и охраны окружающей среды», «Планирование и организация научно-экологических исследований», «Экологическое проектирование».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действия. 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Научно-методологические знания и практические навыки, полученные студентами при выполнении научно-исследовательской работы, повышают эффективность освоения дисциплин, заложенных в основу модуля «Прикладная экология».</w:t>
      </w:r>
    </w:p>
    <w:p>
      <w:pPr>
        <w:pStyle w:val="Normal"/>
        <w:spacing w:lineRule="auto" w:line="26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Профессиональные и научно-исследовательские компетенции, приобретаемые в ходе научно-исследовательской работы, необходимы для прохождения практик, выполнения выпускной квалификационной работе и подготовки к ее защите, а также для успешной работы в профессиональной деятельности.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4. Форма (формы) и способы (при наличии) проведения НИР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Форма проведения практики – дискретно по видам практик.</w:t>
      </w:r>
    </w:p>
    <w:p>
      <w:pPr>
        <w:pStyle w:val="Normal"/>
        <w:tabs>
          <w:tab w:val="clear" w:pos="709"/>
          <w:tab w:val="left" w:pos="993" w:leader="none"/>
        </w:tabs>
        <w:suppressAutoHyphens w:val="true"/>
        <w:spacing w:lineRule="auto" w:line="240" w:before="0" w:after="0"/>
        <w:ind w:left="70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Способ проведения практики – стационарная/ выездная. </w:t>
      </w:r>
    </w:p>
    <w:p>
      <w:pPr>
        <w:pStyle w:val="Normal"/>
        <w:tabs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rFonts w:eastAsia="Calibri" w:cs="Times New Roman" w:ascii="Times New Roman" w:hAnsi="Times New Roman" w:eastAsiaTheme="minorHAnsi"/>
          <w:i w:val="false"/>
          <w:iCs w:val="false"/>
          <w:color w:val="auto"/>
          <w:kern w:val="0"/>
          <w:sz w:val="24"/>
          <w:szCs w:val="24"/>
          <w:lang w:val="ru-RU" w:eastAsia="en-US" w:bidi="ar-SA"/>
        </w:rPr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</w:t>
      </w:r>
    </w:p>
    <w:p>
      <w:pPr>
        <w:pStyle w:val="Normal"/>
        <w:tabs>
          <w:tab w:val="clear" w:pos="709"/>
          <w:tab w:val="left" w:pos="708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rFonts w:eastAsia="Calibri" w:cs="Times New Roman" w:ascii="Times New Roman" w:hAnsi="Times New Roman" w:eastAsiaTheme="minorHAnsi"/>
          <w:i w:val="false"/>
          <w:iCs w:val="false"/>
          <w:color w:val="auto"/>
          <w:kern w:val="0"/>
          <w:sz w:val="24"/>
          <w:szCs w:val="24"/>
          <w:lang w:val="ru-RU" w:eastAsia="en-US" w:bidi="ar-SA"/>
        </w:rPr>
        <w:tab/>
        <w:t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может проводиться в полевой форме в случае необходимости создания специальных условий для ее проведения. Выездные полевые практики проводятся на специализированных базах практик, либо во временных лагерях, расположенных вне крупных населенных пунктов.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Выездная практика организуются только при наличии заявления обучающегося.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Место и время проведения НИР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Научно-исследовательская работа обучающихся может быть организована как на базе кафедры экологического образования и рационального природопользования НГПУ им. К. Минина, на базе Лабораторного комплекса «Эколого-аналитическая лаборатория мониторинга и защиты окружающей среды», а также на базе предприятия, организации, НИИ и т.п.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6. Объём НИР и её продолжительность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Общий объём практики составляет 3 зачетных единицы.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Продолжительность практики 3 недели (108 часов).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 Структура и содержание НИР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7.1 Структура НИР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Общая трудоемкость НИР составляет 3 зачетных единиц, 108 часов.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tbl>
      <w:tblPr>
        <w:tblW w:w="9701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85"/>
        <w:gridCol w:w="4411"/>
        <w:gridCol w:w="849"/>
        <w:gridCol w:w="854"/>
        <w:gridCol w:w="860"/>
        <w:gridCol w:w="847"/>
        <w:gridCol w:w="1294"/>
      </w:tblGrid>
      <w:tr>
        <w:trPr>
          <w:trHeight w:val="855" w:hRule="atLeast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lang w:eastAsia="ar-SA"/>
              </w:rPr>
              <w:t>Формы текущего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lang w:eastAsia="ar-SA"/>
              </w:rPr>
              <w:t>контроля</w:t>
            </w:r>
          </w:p>
        </w:tc>
      </w:tr>
      <w:tr>
        <w:trPr>
          <w:trHeight w:val="557" w:hRule="atLeast"/>
        </w:trPr>
        <w:tc>
          <w:tcPr>
            <w:tcW w:w="58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0"/>
                <w:lang w:eastAsia="ar-SA"/>
              </w:rPr>
            </w:r>
          </w:p>
        </w:tc>
        <w:tc>
          <w:tcPr>
            <w:tcW w:w="441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i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i/>
                <w:iCs/>
                <w:szCs w:val="24"/>
                <w:lang w:eastAsia="ar-SA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2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lang w:eastAsia="ar-SA"/>
              </w:rPr>
            </w:r>
          </w:p>
        </w:tc>
      </w:tr>
      <w:tr>
        <w:trPr>
          <w:trHeight w:val="996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1. Организационный этап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right="-194" w:hanging="0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2. Выбор и обоснование темы НИР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2.1. Выбор и обоснование актуальности темы исследования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2.2. Формулировка структурных элементов введения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2.3. Подбор и изучение основных литературных источников  по теме НИР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3. Практическая часть НИР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3.1 Планирование методов научного исследования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3.2  Проведение исследования, анализ основных результатов и положений по теме исследования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3.3. Оформление результатов НИР согласно требованиям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9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4. Подготовка отчёта по практике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4.1 Подготовка отчёта по практике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отчёт  о выполнении задания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11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4.2 Итоговая конференция по результатам НИР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jc w:val="center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выступление с докладом, ответы на вопросы</w:t>
            </w:r>
          </w:p>
        </w:tc>
      </w:tr>
      <w:tr>
        <w:trPr>
          <w:trHeight w:val="2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182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182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3"/>
              <w:jc w:val="center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</w:tbl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709" w:hanging="0"/>
        <w:jc w:val="both"/>
        <w:rPr>
          <w:rFonts w:ascii="Times New Roman" w:hAnsi="Times New Roman" w:eastAsia="Times New Roman"/>
          <w:bCs/>
          <w:i/>
          <w:i/>
          <w:vertAlign w:val="subscript"/>
          <w:lang w:eastAsia="ar-SA"/>
        </w:rPr>
      </w:pPr>
      <w:r>
        <w:rPr>
          <w:rFonts w:eastAsia="Times New Roman" w:ascii="Times New Roman" w:hAnsi="Times New Roman"/>
          <w:bCs/>
          <w:i/>
          <w:vertAlign w:val="subscript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/>
          <w:b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7.2 Содержание НИР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>Раздел  1. Организационный этап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Определение целей и задач практики. подготовка плана научно-исследовательской работы.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Планирование предстоящей практики по срокам, заполнение первых страниц дневника практики. Решение организационных вопросов.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>Раздел 2.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 xml:space="preserve">Выбор и обоснование темы НИР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Тема 2.1. Выбор и обоснование актуальности темы научно-исследовательской работы.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Анализ  публикационной тематики в СМИ и научно-периодической литературе по вопросам изучения актуальных </w:t>
      </w:r>
      <w:r>
        <w:rPr>
          <w:color w:val="000000"/>
        </w:rPr>
        <w:t xml:space="preserve">отраслевых, региональных, национальных и глобальных 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проблем рационального природопользования и охраны окружающей среды и пути их решения. На основе проведённого анализа – выбор тематики предстоящей научно-исследовательской работы.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2.2. Формулировка структурных элементов введения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Определение объекта, предмета, цели и задач планируемой научно-исследовательской работы, современных методов научно-исследовательской работы.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2.3. Подбор и изучение основных литературных источников  по теме НИР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Изучение требований к составлению библиографического списка литературы. Изучение методики защиты интеллектуальной собственности.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Подбор необходимых источников информации по теме исследования. Составление библиографического списка литературы по теме исследования.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>Раздел 3. Практическая часть научно-исследовательской работы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3.1 Планирование методов научного исследования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Выбор современных и наиболее эффективных эмпирических и теоретических методов организации и проведения научного исследования в зависимости от сформулированных темы, цели, задач, объекта и предмета исследования.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3.2  Проведение исследования, анализ основных результатов и положений по теме исследования.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Теоретический обзор литературы по проблеме исследования из</w:t>
      </w:r>
      <w:r>
        <w:rPr>
          <w:rFonts w:ascii="Times New Roman" w:hAnsi="Times New Roman"/>
          <w:sz w:val="24"/>
          <w:szCs w:val="24"/>
        </w:rPr>
        <w:t xml:space="preserve"> составленного библиографического списка. Критический анализ 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и обработка фактического материала и статистических данных. Постановка эксперимента и интерпретация его результатов. Выполнение задач, поставленных во введении научно-исследовательской работы. формулировка и обоснование выводов.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3.2. Оформление результатов НИР согласно требованиям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Изучение требований по оформлению результатов научно-исследовательской работы (текста НИР, доклада для итоговой конференции и мультимедийной презентации к докладу)</w:t>
      </w:r>
    </w:p>
    <w:p>
      <w:pPr>
        <w:pStyle w:val="Style23"/>
        <w:spacing w:lineRule="auto" w:line="240" w:before="0" w:after="0"/>
        <w:ind w:firstLine="567"/>
        <w:jc w:val="left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en-US"/>
        </w:rPr>
        <w:t xml:space="preserve">Подготовка и публикация научной статьи в рецензируемом научном журнале по </w:t>
      </w:r>
      <w:r>
        <w:rPr>
          <w:bCs/>
          <w:sz w:val="24"/>
          <w:szCs w:val="24"/>
          <w:lang w:eastAsia="ar-SA"/>
        </w:rPr>
        <w:t>теме научно-исследовательской работы.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>Раздел 4. Подготовка отчёта по практике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4.1 Подготовка отчёта по практике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Подготовка отчёта по практике в соответствии с предъявленными требованиями. Корректировка в заполнении дневника практики.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Тема 4.2 Итоговая конференция по результатам НИР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Выступление с докладом и презентацией на итоговой конференции по результатам практики. Обсуждение тематик и результатов научно-исследовательских работ. Организация саморефлексии обучающихся.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8. Методы и технологии НИР</w:t>
      </w:r>
    </w:p>
    <w:p>
      <w:pPr>
        <w:pStyle w:val="Normal"/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pacing w:lineRule="auto" w:line="240" w:before="0" w:after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Технология проектного обучения с использованием презентационного метода и метода защиты проекта (ориентирована на творческую самостоятельность и самореализацию обучающегося в процессе научно-исследовательской работы).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pacing w:lineRule="auto" w:line="240" w:before="0" w:after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Информационная технология с использованием презентационного метода (ориентирована на способность самостоятельно приобретать с помощью специальных способов, программных и технических средств новые знания и умения, демонстрировать их, участвуя в научно- исследовательской конференции с использованием презентационного метода, а также в разработке методических и тестовых материалов).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pacing w:lineRule="auto" w:line="240" w:before="0" w:after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Коммуникационная технология – ориентирована на свободное владение русским языком как средством коммуникации в научной сфере, на овладение коммуникативными стратегиями и тактиками, риторическими, стилистическими и языковыми нормами и приемами и умение адекватно использовать их при решении профессиональных задач.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pacing w:lineRule="auto" w:line="240" w:before="0"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Активно используются технологии проблемного, личностно-ориентированного обучения с применением информационных технологий на базе программного обеспечения и информационных справочных систем (при необходимости).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9. Формы отчётности по итогам НИР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НИР заканчивается итоговой научной конференцией, на которой обучающиеся презентуют результаты своей научно-исследовательской работы и предоставляют оформленный отчет и дневник практики.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оценка результатов обучения осуществляется в ходе проверки качества выполнения отчётов по практическим заданиям.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отчете по практике обучающийся отражает информацию: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время и место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цель и задачи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анализ заданий для прохождения практики, что соответствует содержанию и результатам научно-исследовательской работы);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выходные данные сборника статей/материалов конференций / журналов, в которых планируется публикация результатов НИР;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сведения о затруднениях в хоте прохождения практики.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НИР</w:t>
      </w:r>
    </w:p>
    <w:p>
      <w:pPr>
        <w:pStyle w:val="Normal"/>
        <w:tabs>
          <w:tab w:val="clear" w:pos="709"/>
          <w:tab w:val="left" w:pos="0" w:leader="none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Контроль прохождения НИР производится в соответствии с Положением о текущем контроле успеваемости и промежуточной аттестации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Форма промежуточной аттестации – зачет с оценкой.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pacing w:val="-4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Рейтинг-план НИР представлен в Приложении 1 к программе практики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spacing w:val="-4"/>
          <w:sz w:val="16"/>
          <w:szCs w:val="16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Фонд оценочных средств по НИР представлен в Приложении 2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НИР</w:t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</w:r>
      <w:r>
        <w:rPr>
          <w:rFonts w:eastAsia="Times New Roman" w:ascii="Times New Roman" w:hAnsi="Times New Roman"/>
          <w:i/>
          <w:sz w:val="28"/>
          <w:szCs w:val="28"/>
          <w:lang w:eastAsia="ar-SA"/>
        </w:rPr>
        <w:t xml:space="preserve">а) Основная литература: 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ru-RU" w:bidi="ar-SA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 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Богданов, И.И. Геоэкология с основами биогеографии: учебное пособие / И.И. Богданов. - 3-е изд., стереотип. - Москва: Издательство «Флинта», 2016. - 210 с. - ISBN 978-5-9765-1190-3; То же [Электронный ресурс]. - URL: http://biblioclub.ru/index.php?page=book&amp;id=83074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  <w:tab/>
        <w:t xml:space="preserve">б) Дополнительная литература: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Федеральный закон «Об охране окружающей среды», № 7-ФЗ от 10.01.2002 г. в последней редакции № 404-ФЗ от 29.12.2015 г. Режим доступа: </w:t>
      </w:r>
      <w:hyperlink r:id="rId2">
        <w:r>
          <w:rPr>
            <w:rFonts w:ascii="Times New Roman" w:hAnsi="Times New Roman"/>
            <w:sz w:val="24"/>
            <w:szCs w:val="24"/>
            <w:lang w:eastAsia="ru-RU"/>
          </w:rPr>
          <w:t>http://base.consultant.ru/cons/cgi/online.cgi?req=doc;base=LAW;n=183341</w:t>
        </w:r>
      </w:hyperlink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Федеральный закон «О санитарно-эпидемиологическом благополучии населения», № 52-ФЗ от 30.03.1999 г. в последней редакции № 358-ФЗ от 28.11.2015 г. Режим доступа: </w:t>
      </w:r>
      <w:hyperlink r:id="rId3">
        <w:r>
          <w:rPr>
            <w:rFonts w:ascii="Times New Roman" w:hAnsi="Times New Roman"/>
            <w:sz w:val="24"/>
            <w:szCs w:val="24"/>
            <w:lang w:eastAsia="ru-RU"/>
          </w:rPr>
          <w:t>http://base.consultant.ru/cons/cgi/online.cgi?req=doc;base=LAW;n=189622</w:t>
        </w:r>
      </w:hyperlink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Приказ Госкомэкологии РФ от 25.09.1997 N 397</w:t>
        <w:br/>
        <w:t>«Об утверждении "Перечня нормативных документов, рекомендуемых к использованию при проведении государственной экологической экспертизы, а также при составлении экологического обоснования хозяйственной и иной деятельности»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4">
        <w:r>
          <w:rPr>
            <w:rFonts w:ascii="Times New Roman" w:hAnsi="Times New Roman"/>
            <w:sz w:val="24"/>
            <w:szCs w:val="24"/>
            <w:lang w:eastAsia="ru-RU"/>
          </w:rPr>
          <w:t>http://www.consultant.ru/document/cons_doc_LAW_16548/</w:t>
        </w:r>
      </w:hyperlink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Ветошкин А. Г. Основы инженерной защиты окружающей среды: учебное пособие </w:t>
      </w:r>
      <w:hyperlink r:id="rId5">
        <w:r>
          <w:rPr>
            <w:rFonts w:ascii="Times New Roman" w:hAnsi="Times New Roman"/>
            <w:sz w:val="24"/>
            <w:szCs w:val="24"/>
            <w:lang w:eastAsia="ru-RU"/>
          </w:rPr>
          <w:t>http://portal.tpu.ru/SHARED/a/ALEKSEEV/instr_work/Tab/teoreticheskie_osnovy_zashity_okruzhayushej_sredy-uchebn.pdf</w:t>
        </w:r>
      </w:hyperlink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left" w:pos="709" w:leader="none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  <w:tab/>
        <w:t xml:space="preserve">в) Интернет-ресурсы: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Style w:val="Treetext"/>
        </w:rPr>
      </w:pPr>
      <w:r>
        <w:rPr>
          <w:rStyle w:val="Treetext"/>
          <w:rFonts w:cs="Times New Roman" w:ascii="Times New Roman" w:hAnsi="Times New Roman"/>
          <w:sz w:val="24"/>
          <w:szCs w:val="24"/>
        </w:rPr>
        <w:t>http://waste.ru/ - Справочно-информационная система «Отходы.ру».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Style w:val="Treetext"/>
          <w:rFonts w:ascii="Times New Roman" w:hAnsi="Times New Roman" w:cs="Times New Roman"/>
          <w:sz w:val="24"/>
          <w:szCs w:val="24"/>
        </w:rPr>
      </w:pPr>
      <w:r>
        <w:rPr>
          <w:rStyle w:val="Treetext"/>
          <w:rFonts w:cs="Times New Roman" w:ascii="Times New Roman" w:hAnsi="Times New Roman"/>
          <w:sz w:val="24"/>
          <w:szCs w:val="24"/>
        </w:rPr>
        <w:t>http://www.ecology.ru/index.php?p=index&amp;area=1 – Группа компаний «Экология».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Style w:val="Treetext"/>
          <w:rFonts w:ascii="Times New Roman" w:hAnsi="Times New Roman" w:cs="Times New Roman"/>
          <w:sz w:val="24"/>
          <w:szCs w:val="24"/>
        </w:rPr>
      </w:pPr>
      <w:r>
        <w:rPr>
          <w:rStyle w:val="Treetext"/>
          <w:rFonts w:cs="Times New Roman" w:ascii="Times New Roman" w:hAnsi="Times New Roman"/>
          <w:sz w:val="24"/>
          <w:szCs w:val="24"/>
        </w:rPr>
        <w:t>http://www.centreco.ru/normat_2.php - Центр экологической информации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kern w:val="2"/>
        </w:rPr>
      </w:pPr>
      <w:hyperlink r:id="rId6">
        <w:r>
          <w:rPr>
            <w:rFonts w:cs="Times New Roman" w:ascii="Times New Roman" w:hAnsi="Times New Roman"/>
            <w:kern w:val="2"/>
            <w:sz w:val="24"/>
            <w:szCs w:val="24"/>
          </w:rPr>
          <w:t>http://www.consultant.ru/document/cons_doc_LAW_34823/</w:t>
        </w:r>
      </w:hyperlink>
      <w:r>
        <w:rPr>
          <w:rFonts w:cs="Times New Roman" w:ascii="Times New Roman" w:hAnsi="Times New Roman"/>
          <w:kern w:val="2"/>
          <w:sz w:val="24"/>
          <w:szCs w:val="24"/>
        </w:rPr>
        <w:t xml:space="preserve"> - Федеральный закон "Об охране окружающей среды" от 10.01.2002 N 7-ФЗ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kern w:val="2"/>
          <w:sz w:val="24"/>
          <w:szCs w:val="24"/>
        </w:rPr>
      </w:pPr>
      <w:hyperlink r:id="rId7">
        <w:r>
          <w:rPr>
            <w:rFonts w:cs="Times New Roman" w:ascii="Times New Roman" w:hAnsi="Times New Roman"/>
            <w:kern w:val="2"/>
            <w:sz w:val="24"/>
            <w:szCs w:val="24"/>
          </w:rPr>
          <w:t>http://www.consultant.ru/document/cons_doc_LAW_19109/</w:t>
        </w:r>
      </w:hyperlink>
      <w:r>
        <w:rPr>
          <w:rFonts w:cs="Times New Roman" w:ascii="Times New Roman" w:hAnsi="Times New Roman"/>
          <w:kern w:val="2"/>
          <w:sz w:val="24"/>
          <w:szCs w:val="24"/>
        </w:rPr>
        <w:t xml:space="preserve">  - Федеральный закон "Об отходах производства и потребления" от 24.06.1998 N 89-ФЗ</w:t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ar-SA"/>
        </w:rPr>
      </w:pPr>
      <w:hyperlink r:id="rId8">
        <w:r>
          <w:rPr>
            <w:rFonts w:ascii="Times New Roman" w:hAnsi="Times New Roman"/>
            <w:kern w:val="2"/>
            <w:sz w:val="24"/>
            <w:szCs w:val="24"/>
          </w:rPr>
          <w:t>http://www.consultant.ru/document/cons_doc_LAW_8515/</w:t>
        </w:r>
      </w:hyperlink>
      <w:r>
        <w:rPr>
          <w:rFonts w:ascii="Times New Roman" w:hAnsi="Times New Roman"/>
          <w:kern w:val="2"/>
          <w:sz w:val="24"/>
          <w:szCs w:val="24"/>
        </w:rPr>
        <w:t xml:space="preserve"> - Федеральный закон "Об экологической экспертизе" от 23.11.1995 N 174-Ф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lang w:eastAsia="ru-RU"/>
        </w:rPr>
      </w:pPr>
      <w:r>
        <w:rPr>
          <w:rFonts w:eastAsia="Times New Roman" w:ascii="Times New Roman" w:hAnsi="Times New Roman"/>
          <w:bCs/>
          <w:i/>
          <w:iCs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lang w:eastAsia="ru-RU"/>
        </w:rPr>
      </w:pPr>
      <w:r>
        <w:rPr>
          <w:rFonts w:eastAsia="Times New Roman" w:ascii="Times New Roman" w:hAnsi="Times New Roman"/>
          <w:bCs/>
          <w:i/>
          <w:iCs/>
          <w:lang w:eastAsia="ru-RU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НИР, включая перечень программного обеспечения и информационных справочных систем 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MicrosoftWord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MicrosoftExcel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MicrosoftPowerPoint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Электронная среда Мининского университета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Поисковые системы google, yandex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Система «Антиплагиат. Вуз» 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 xml:space="preserve">- </w:t>
      </w:r>
      <w:hyperlink r:id="rId9">
        <w:r>
          <w:rPr>
            <w:rFonts w:eastAsia="Times New Roman" w:ascii="Times New Roman" w:hAnsi="Times New Roman"/>
            <w:bCs/>
            <w:i/>
            <w:color w:val="0000FF"/>
            <w:u w:val="single"/>
            <w:lang w:eastAsia="ru-RU"/>
          </w:rPr>
          <w:t>www.consultant.ru</w:t>
        </w:r>
      </w:hyperlink>
      <w:r>
        <w:rPr>
          <w:rFonts w:eastAsia="Times New Roman" w:ascii="Times New Roman" w:hAnsi="Times New Roman"/>
          <w:bCs/>
          <w:i/>
          <w:lang w:eastAsia="ru-RU"/>
        </w:rPr>
        <w:t xml:space="preserve"> – справочная правовая система «КонсультантПлюс»;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 xml:space="preserve">- </w:t>
      </w:r>
      <w:hyperlink r:id="rId10">
        <w:r>
          <w:rPr>
            <w:rFonts w:eastAsia="Times New Roman" w:ascii="Times New Roman" w:hAnsi="Times New Roman"/>
            <w:bCs/>
            <w:i/>
            <w:color w:val="0000FF"/>
            <w:u w:val="single"/>
            <w:lang w:eastAsia="ru-RU"/>
          </w:rPr>
          <w:t>www.garant.ru</w:t>
        </w:r>
      </w:hyperlink>
      <w:r>
        <w:rPr>
          <w:rFonts w:eastAsia="Times New Roman" w:ascii="Times New Roman" w:hAnsi="Times New Roman"/>
          <w:bCs/>
          <w:i/>
          <w:lang w:eastAsia="ru-RU"/>
        </w:rPr>
        <w:t xml:space="preserve"> – Информационно-правовой портал «ГАРАНТ.РУ» 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13.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Материально-техническое обеспечение НИР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Для прохождения НИР на базе кафедры  необходима учебная аудитория, оборудованная  персональным компьютером с выходом в Интернет мультимедийным демонстрационным комплексом.</w:t>
      </w:r>
    </w:p>
    <w:p>
      <w:pPr>
        <w:pStyle w:val="Normal"/>
        <w:ind w:firstLine="567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В случае прохождения НИР в организации, НИИ, на предприятии материально-техническое оснащение места прохождения практики зависит от выбранной тематики НИР и наличия оборудования,  средства обработки данных (компьютеры, вычислительные комплексы, разрабатывающие программы и пр.) в соответствующей организации.</w:t>
      </w:r>
      <w:r>
        <w:br w:type="page"/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СОГЛАСОВАНИЯ ПРОГРАММЫ ПРАКТИКИ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Эксперт(ы):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Созонтьева Т.С., руководитель НОО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eastAsia="ar-SA"/>
        </w:rPr>
        <w:t xml:space="preserve"> «Всероссийское Общество Охраны Природы»</w:t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ar-SA"/>
        </w:rPr>
        <w:t>Кривдина И.Ю., к.п.н., доцент, зав. кафедрой географии, географического и геоэкологического образования ФГБОУ ВО «НГПУ им. К. Минина»</w:t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51"/>
        <w:gridCol w:w="4918"/>
      </w:tblGrid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изменения, дата изменения; номер страницы с изменением</w:t>
            </w:r>
          </w:p>
        </w:tc>
      </w:tr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footerReference w:type="default" r:id="rId11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1893472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uiPriority w:val="99"/>
    <w:unhideWhenUsed/>
    <w:rsid w:val="00cb658e"/>
    <w:rPr>
      <w:color w:val="0000FF"/>
      <w:u w:val="single"/>
    </w:rPr>
  </w:style>
  <w:style w:type="character" w:styleId="Treetext" w:customStyle="1">
    <w:name w:val="tree_text"/>
    <w:basedOn w:val="DefaultParagraphFont"/>
    <w:uiPriority w:val="99"/>
    <w:qFormat/>
    <w:rsid w:val="00cb658e"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ase.consultant.ru/cons/cgi/online.cgi?req=doc;base=LAW;n=183341" TargetMode="External"/><Relationship Id="rId3" Type="http://schemas.openxmlformats.org/officeDocument/2006/relationships/hyperlink" Target="http://base.consultant.ru/cons/cgi/online.cgi?req=doc;base=LAW;n=189622" TargetMode="External"/><Relationship Id="rId4" Type="http://schemas.openxmlformats.org/officeDocument/2006/relationships/hyperlink" Target="http://www.consultant.ru/document/cons_doc_LAW_16548/" TargetMode="External"/><Relationship Id="rId5" Type="http://schemas.openxmlformats.org/officeDocument/2006/relationships/hyperlink" Target="http://portal.tpu.ru/SHARED/a/ALEKSEEV/instr_work/Tab/teoreticheskie_osnovy_zashity_okruzhayushej_sredy-uchebn.pdf" TargetMode="External"/><Relationship Id="rId6" Type="http://schemas.openxmlformats.org/officeDocument/2006/relationships/hyperlink" Target="http://www.consultant.ru/document/cons_doc_LAW_34823/" TargetMode="External"/><Relationship Id="rId7" Type="http://schemas.openxmlformats.org/officeDocument/2006/relationships/hyperlink" Target="http://www.consultant.ru/document/cons_doc_LAW_19109/" TargetMode="External"/><Relationship Id="rId8" Type="http://schemas.openxmlformats.org/officeDocument/2006/relationships/hyperlink" Target="http://www.consultant.ru/document/cons_doc_LAW_8515/" TargetMode="External"/><Relationship Id="rId9" Type="http://schemas.openxmlformats.org/officeDocument/2006/relationships/hyperlink" Target="http://www.consultant.ru/" TargetMode="External"/><Relationship Id="rId10" Type="http://schemas.openxmlformats.org/officeDocument/2006/relationships/hyperlink" Target="http://www.garant.ru/" TargetMode="Externa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9CFA3-6DD2-490A-AB6D-D1C7A3EA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Application>LibreOffice/6.4.2.2$Windows_x86 LibreOffice_project/4e471d8c02c9c90f512f7f9ead8875b57fcb1ec3</Application>
  <Pages>13</Pages>
  <Words>2380</Words>
  <Characters>18750</Characters>
  <CharactersWithSpaces>21017</CharactersWithSpaces>
  <Paragraphs>281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2021-07-03T23:04:25Z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