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АННОТАЦИЯ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Стратегии личностно-профессионального развития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Экологический менеджмент и аудит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Цели и задачи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-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left="0" w:firstLine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left="0" w:firstLine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left="0" w:firstLine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Цикл (раздел) ОПОП: дисциплина относится к  дисциплинам вариативной  части (ФТД. Факультативы).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ru-RU" w:eastAsia="en-US" w:bidi="ar-SA"/>
        </w:rPr>
        <w:t xml:space="preserve">УК-6 - </w:t>
      </w:r>
      <w:r>
        <w:rPr>
          <w:rFonts w:eastAsia="Calibri" w:cs="Calibri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en-US" w:bidi="ar-SA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0"/>
        <w:gridCol w:w="2365"/>
        <w:gridCol w:w="2414"/>
        <w:gridCol w:w="2431"/>
        <w:gridCol w:w="1498"/>
      </w:tblGrid>
      <w:tr>
        <w:trPr>
          <w:trHeight w:val="385" w:hRule="atLeast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компетенции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Владеет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приемами саморазвития и самореализации личности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 образовательной, профессиональной и других сферах деятельности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/>
              <w:bidi w:val="0"/>
              <w:spacing w:before="0" w:after="200"/>
              <w:ind w:left="0" w:right="0" w:hanging="0"/>
              <w:jc w:val="left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uppressAutoHyphens w:val="true"/>
              <w:spacing w:lineRule="auto" w:line="240" w:before="0" w:after="200"/>
              <w:ind w:left="0" w:right="0" w:hanging="0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УК.6.1. Умеет демонстрировать умение самоконтроля и рефлексии, позволяющие самостоятельно корректировать обучение по выбранной траектории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Тест, практическая работа, заполнение портфолио, проект, ответы на вопросы самостоятельной работы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Модуль 1. «Стратегии личностно-профессионального развития студентов в образовательной среде вуза»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Структура Мининского университета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1.2.Организация учебного процесса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Введение в ОПОП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Индивидуальные карты развития студента.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Рейтинг студентов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1.8.Мониторинг удовлетворённости студентов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Модуль 2. «Введение в электронную среду вуза»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2.1 Знакомство с ЭОС вуза.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2.2 Сервисы ЭИОС. Электронное расписание.  Электронный журнал. Конфигуратор «личного успеха». Предметные сервисы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2.3. Электронное обучение</w:t>
      </w:r>
      <w:r>
        <w:rPr>
          <w:rFonts w:cs="Times New Roman" w:ascii="Times New Roman" w:hAnsi="Times New Roman"/>
          <w:b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Работа с учебным курсом: навигация по курсу, типы заданий, просмотр оценок и т.д.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2.4. Электронное портфолио. Структура портфолио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2.5. Работа по заполнению электронного портфолио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2.6. Мониторинг удовлетворённости студентов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lineRule="auto" w:line="264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Модуль 3. «Введение в социо-коммуникативную среду вуза»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lineRule="auto" w:line="264"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Cs/>
          <w:sz w:val="24"/>
          <w:szCs w:val="24"/>
        </w:rPr>
        <w:t>3.1. Командная работа и лидерство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lineRule="auto" w:line="264"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3.2. Основы тайм-менеджмента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lineRule="auto" w:line="264"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3.4. Межличностное общение. Межкультурное взаимодействие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lineRule="auto" w:line="264"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3.5. Технологии управления конфликтами и стрессами.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lineRule="auto" w:line="264"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3.6. Мониторинг удовлетворённости студентов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Модуль 4. «Введение в проектную среду вуза»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4.1. Проектный университет: возможности студентов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«Вход в науку» - участие в научно-исследовательских проектах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Социально-образовательная инициатива – социальные проекты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4.4.От инновационного проекта к молодежному предпринимательству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4.5.Распределение по проектным группам  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4.6. Мониторинг удовлетворённости студентов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  <w:tab w:val="left" w:pos="993" w:leader="none"/>
          <w:tab w:val="left" w:pos="1701" w:leader="none"/>
        </w:tabs>
        <w:spacing w:lineRule="auto" w:line="360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Зачет. Защита проекта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Автор: </w:t>
      </w:r>
      <w:r>
        <w:rPr>
          <w:rFonts w:eastAsia="Times New Roman" w:ascii="Times New Roman" w:hAnsi="Times New Roman"/>
          <w:sz w:val="24"/>
          <w:lang w:eastAsia="ru-RU"/>
        </w:rPr>
        <w:t>к.г.н., доцент Волкова А.В.</w:t>
      </w:r>
    </w:p>
    <w:sectPr>
      <w:footerReference w:type="default" r:id="rId2"/>
      <w:type w:val="nextPage"/>
      <w:pgSz w:w="11906" w:h="16838"/>
      <w:pgMar w:left="1134" w:right="1134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18555536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d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af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lineRule="auto" w:line="276" w:before="0" w:after="200"/>
      <w:ind w:left="0" w:right="0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B2CF5-B760-4512-9465-033D2A042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LibreOffice/6.4.2.2$Windows_x86 LibreOffice_project/4e471d8c02c9c90f512f7f9ead8875b57fcb1ec3</Application>
  <Pages>2</Pages>
  <Words>384</Words>
  <Characters>3012</Characters>
  <CharactersWithSpaces>3339</CharactersWithSpaces>
  <Paragraphs>64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2018-02-27T12:34:00Z</dcterms:created>
  <dc:creator>User</dc:creator>
  <dc:description/>
  <dc:language>ru-RU</dc:language>
  <cp:lastModifiedBy/>
  <cp:lastPrinted>2018-02-27T13:02:00Z</cp:lastPrinted>
  <dcterms:modified xsi:type="dcterms:W3CDTF">2021-06-25T23:41:46Z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