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4"/>
          <w:szCs w:val="24"/>
          <w:lang w:val="ru-RU" w:eastAsia="ru-RU" w:bidi="ar-SA"/>
        </w:rPr>
        <w:t>ИНОСТРАННЫЙ ЯЗЫК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Модуль «К.М.03.Иностранный язык» ориентирован на подготовку студентов 1-2 курсов бакалавриата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педагогических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>
        <w:rPr>
          <w:rFonts w:eastAsia="Calibri" w:cs="Times New Roman" w:ascii="Times New Roman" w:hAnsi="Times New Roman"/>
          <w:sz w:val="24"/>
          <w:szCs w:val="24"/>
          <w:highlight w:val="white"/>
          <w:vertAlign w:val="subscript"/>
          <w:lang w:eastAsia="ru-RU"/>
        </w:rPr>
        <w:t>2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коммуникативной компетенции. 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eastAsia="Calibri" w:cs="Times New Roman"/>
          <w:sz w:val="24"/>
          <w:szCs w:val="24"/>
          <w:highlight w:val="white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Согласно </w:t>
      </w:r>
      <w:r>
        <w:rPr>
          <w:rFonts w:eastAsia="Calibri" w:cs="Times New Roman" w:ascii="Times New Roman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i/>
          <w:sz w:val="24"/>
          <w:szCs w:val="24"/>
          <w:highlight w:val="white"/>
          <w:lang w:eastAsia="ru-RU"/>
        </w:rPr>
        <w:t>Деятельностный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>
        <w:rPr>
          <w:rFonts w:eastAsia="Calibri" w:cs="Times New Roman" w:ascii="Times New Roman" w:hAnsi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eastAsia="Calibri" w:cs="Times New Roman" w:ascii="Times New Roman" w:hAnsi="Times New Roman"/>
          <w:i/>
          <w:sz w:val="24"/>
          <w:szCs w:val="24"/>
          <w:highlight w:val="white"/>
          <w:lang w:eastAsia="ru-RU"/>
        </w:rPr>
        <w:t xml:space="preserve">подход 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>
        <w:rPr>
          <w:rFonts w:eastAsia="Calibri" w:cs="Times New Roman" w:ascii="Times New Roman" w:hAnsi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>, предполагающим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i w:val="false"/>
          <w:iCs w:val="false"/>
          <w:sz w:val="24"/>
          <w:szCs w:val="24"/>
          <w:highlight w:val="white"/>
          <w:lang w:eastAsia="ru-RU"/>
        </w:rPr>
        <w:t xml:space="preserve">Цель </w:t>
      </w:r>
      <w:r>
        <w:rPr>
          <w:rFonts w:eastAsia="Calibri" w:cs="Times New Roman" w:ascii="Times New Roman" w:hAnsi="Times New Roman"/>
          <w:i/>
          <w:iCs w:val="false"/>
          <w:sz w:val="24"/>
          <w:szCs w:val="24"/>
          <w:highlight w:val="white"/>
          <w:lang w:eastAsia="ru-RU"/>
        </w:rPr>
        <w:t>коммуникативного подхода</w:t>
      </w:r>
      <w:r>
        <w:rPr>
          <w:rFonts w:eastAsia="Calibri" w:cs="Times New Roman" w:ascii="Times New Roman" w:hAnsi="Times New Roman"/>
          <w:b/>
          <w:i/>
          <w:iCs w:val="false"/>
          <w:sz w:val="24"/>
          <w:szCs w:val="24"/>
          <w:highlight w:val="white"/>
          <w:lang w:eastAsia="ru-RU"/>
        </w:rPr>
        <w:t xml:space="preserve"> </w:t>
      </w:r>
      <w:r>
        <w:rPr>
          <w:rFonts w:eastAsia="Calibri" w:cs="Times New Roman" w:ascii="Times New Roman" w:hAnsi="Times New Roman"/>
          <w:i w:val="false"/>
          <w:iCs w:val="false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>
        <w:rPr>
          <w:rFonts w:eastAsia="Calibri" w:cs="Times New Roman" w:ascii="Times New Roman" w:hAnsi="Times New Roman"/>
          <w:b/>
          <w:sz w:val="24"/>
          <w:szCs w:val="24"/>
          <w:highlight w:val="white"/>
          <w:lang w:eastAsia="ru-RU"/>
        </w:rPr>
        <w:t>целью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>
        <w:rPr>
          <w:rFonts w:eastAsia="Calibri" w:cs="Times New Roman" w:ascii="Times New Roman" w:hAnsi="Times New Roman"/>
          <w:b/>
          <w:sz w:val="24"/>
          <w:szCs w:val="24"/>
          <w:highlight w:val="white"/>
          <w:lang w:eastAsia="ru-RU"/>
        </w:rPr>
        <w:t>задачи</w:t>
      </w:r>
      <w:r>
        <w:rPr>
          <w:rFonts w:eastAsia="Calibri" w:cs="Times New Roman" w:ascii="Times New Roman" w:hAnsi="Times New Roman"/>
          <w:sz w:val="24"/>
          <w:szCs w:val="24"/>
          <w:highlight w:val="white"/>
          <w:lang w:eastAsia="ru-RU"/>
        </w:rPr>
        <w:t>:</w:t>
      </w:r>
    </w:p>
    <w:p>
      <w:pPr>
        <w:pStyle w:val="Normal"/>
        <w:spacing w:before="0" w:after="0"/>
        <w:ind w:left="-30" w:right="0"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left="-30" w:righ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tbl>
      <w:tblPr>
        <w:tblW w:w="5000" w:type="pct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222"/>
        <w:gridCol w:w="2214"/>
        <w:gridCol w:w="1884"/>
        <w:gridCol w:w="2419"/>
      </w:tblGrid>
      <w:tr>
        <w:trPr/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умение и способность 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УК 4.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–  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владеет методикой составления суждения в межличностном деловом общении на государственном и иностранном языках, с применением адекватных языковых форм и средств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Практические занятия;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групповая дискуссия самостоятельная работа;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метод проектов,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учебная игра;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right="0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демонстрирует умение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right="0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УК 4.4 – способен осуществлять деловую коммуникацию в устной и письменной формах на иностранном (ых) языке (ах)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Эссе/сочинение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i/>
          <w:sz w:val="24"/>
          <w:lang w:eastAsia="ru-RU"/>
        </w:rPr>
        <w:t xml:space="preserve">Руководитель: </w:t>
      </w:r>
      <w:r>
        <w:rPr>
          <w:rFonts w:eastAsia="Times New Roman" w:cs="Times New Roman" w:ascii="Times New Roman" w:hAnsi="Times New Roman"/>
          <w:sz w:val="24"/>
          <w:lang w:eastAsia="ru-RU"/>
        </w:rPr>
        <w:t>Минеева О.А. к.п.н., доцент, кафедра иноязычной профессиональной коммуникации, НГПУ</w:t>
      </w:r>
    </w:p>
    <w:p>
      <w:pPr>
        <w:pStyle w:val="Normal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cs="Times New Roman" w:ascii="Times New Roman" w:hAnsi="Times New Roman"/>
          <w:sz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 xml:space="preserve">Малышева Е. Ю., старший преподаватель, каф. ТиПИЯиЛ </w:t>
      </w:r>
    </w:p>
    <w:p>
      <w:pPr>
        <w:pStyle w:val="Normal"/>
        <w:spacing w:lineRule="auto" w:line="360" w:before="0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 xml:space="preserve">Гаврикова Ю.А., старший преподаватель, каф. ТиПИЯиЛ, </w:t>
      </w:r>
    </w:p>
    <w:p>
      <w:pPr>
        <w:pStyle w:val="Normal"/>
        <w:spacing w:lineRule="auto" w:line="360" w:before="0" w:after="0"/>
        <w:ind w:left="0" w:right="0"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pacing w:val="-8"/>
          <w:kern w:val="0"/>
          <w:sz w:val="20"/>
          <w:szCs w:val="20"/>
          <w:lang w:val="ru-RU" w:eastAsia="ru-RU" w:bidi="ar-SA"/>
        </w:rPr>
        <w:t>Бойко М.В., старший преподаватель, каф. ТиПИЯиЛ.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fill="FFFFFF" w:val="clear"/>
        <w:tabs>
          <w:tab w:val="clear" w:pos="708"/>
          <w:tab w:val="left" w:pos="1123" w:leader="none"/>
        </w:tabs>
        <w:spacing w:lineRule="auto" w:line="36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  <w:lang w:val="ru-RU" w:eastAsia="ru-RU" w:bidi="ar-SA"/>
        </w:rPr>
        <w:t xml:space="preserve">В основу модуля положено достижение универсальной компетенции УК — 4: 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  <w:lang w:val="ru-RU" w:eastAsia="ru-RU" w:bidi="ar-SA"/>
        </w:rPr>
        <w:t xml:space="preserve">Способен осуществлять деловую коммуникацию в устной и письменной формах на государственном языке Российской Федерации и иностранном(ых) языке(ах).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  <w:lang w:val="ru-RU" w:eastAsia="ru-RU" w:bidi="ar-SA"/>
        </w:rPr>
        <w:t>Изучается на 1 и 2 курсах обучения.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684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часа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/19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tabs>
          <w:tab w:val="clear" w:pos="708"/>
          <w:tab w:val="left" w:pos="285" w:leader="none"/>
        </w:tabs>
        <w:suppressAutoHyphens w:val="true"/>
        <w:bidi w:val="0"/>
        <w:spacing w:lineRule="auto" w:line="240" w:before="0" w:after="0"/>
        <w:ind w:left="0" w:right="113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Дисциплины, обязательные для изучения:</w:t>
      </w:r>
    </w:p>
    <w:p>
      <w:pPr>
        <w:pStyle w:val="ListParagraph"/>
        <w:widowControl/>
        <w:shd w:val="clear" w:color="auto" w:fill="FFFFFF"/>
        <w:tabs>
          <w:tab w:val="clear" w:pos="708"/>
          <w:tab w:val="left" w:pos="285" w:leader="none"/>
          <w:tab w:val="left" w:pos="705" w:leader="none"/>
        </w:tabs>
        <w:suppressAutoHyphens w:val="true"/>
        <w:bidi w:val="0"/>
        <w:spacing w:lineRule="auto" w:line="240" w:before="0" w:after="0"/>
        <w:ind w:left="0" w:right="113" w:firstLine="794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ru-RU" w:bidi="ar-SA"/>
        </w:rPr>
        <w:t>Английский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язык»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724" w:right="0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2. Дисциплины по выбору (выбрать 1 из 3):</w:t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firstLine="85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«Второй иностранный язык»</w:t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firstLine="85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«Практика перевода иностранных источников»</w:t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firstLine="85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 xml:space="preserve">«Подготовка к экзамену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en-US" w:eastAsia="ru-RU" w:bidi="ar-SA"/>
        </w:rPr>
        <w:t>FCE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»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96854393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WW8Num6z0">
    <w:name w:val="WW8Num6z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LibreOffice/6.4.2.2$Windows_x86 LibreOffice_project/4e471d8c02c9c90f512f7f9ead8875b57fcb1ec3</Application>
  <Pages>3</Pages>
  <Words>728</Words>
  <Characters>5559</Characters>
  <CharactersWithSpaces>6239</CharactersWithSpaces>
  <Paragraphs>73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2021-04-04T11:12:36Z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