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05C7E336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3808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0CA607AB" w14:textId="5576646E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3808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3808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августа </w:t>
      </w:r>
      <w:r w:rsidRPr="003808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661AAC62" w:rsidR="00885D52" w:rsidRPr="004D1B08" w:rsidRDefault="0030398D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E8136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9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.03.01 </w:t>
      </w:r>
      <w:r w:rsidR="00E8136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3BBA8234" w:rsidR="006F66D2" w:rsidRDefault="008B650F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E813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Спортивная подготовка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70FF8EDF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</w:t>
      </w:r>
      <w:proofErr w:type="gram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8B65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FFF4FC" w14:textId="31315AF5" w:rsidR="00885D52" w:rsidRPr="008B650F" w:rsidRDefault="002943A1" w:rsidP="008B650F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  <w:sectPr w:rsidR="00885D52" w:rsidRPr="008B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 w:rsidR="008B650F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теоретических основ физической культуры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(протокол № </w:t>
      </w:r>
      <w:r w:rsidR="008B650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18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от </w:t>
      </w:r>
      <w:r w:rsidR="0030398D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«</w:t>
      </w:r>
      <w:r w:rsidR="008B650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21</w:t>
      </w:r>
      <w:r w:rsidR="00E32D1B" w:rsidRP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» </w:t>
      </w:r>
      <w:r w:rsidR="0030398D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июня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4839E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10"/>
          <w:footerReference w:type="default" r:id="rId11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Мининский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духовного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Системно-деятельностный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  <w:proofErr w:type="gramEnd"/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ценностно-смыслового</w:t>
      </w:r>
      <w:proofErr w:type="gramEnd"/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Приведенные принципы организации воспитательной деятельности согласуются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методологическими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1. ОСОБЕННОСТИ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ОРГАНИЗУЕМОГО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 xml:space="preserve">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  <w:proofErr w:type="gramEnd"/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Мининский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Мининский университет – это образовательная площадка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более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чем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  <w:proofErr w:type="gramEnd"/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  <w:proofErr w:type="gramEnd"/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, в котором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расположены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Актовый зал рассчитан на 252 посадочных места.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оснащенная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  <w:proofErr w:type="gramEnd"/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Мининский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</w:t>
      </w:r>
      <w:proofErr w:type="gramStart"/>
      <w:r w:rsidRPr="008B650F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2 специализированные лаборатории, оснащенные аппаратно-программным комплексом для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скрининг-оценки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Центром организуются культурно-массовые и спортивные мероприятия, мероприятия творческого характера, различные PR-акции, которые позволяют вовлекать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  <w:proofErr w:type="gramEnd"/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проектных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Мининский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Мининский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ГБУ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Центр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Мининский!»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Мининский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формировании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осознание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важности решения задач воспитания детей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по профилактике деструктивного и экстремистского поведения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другие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помогали им с покупкой и доставкой лекарств и продуктов. Кроме того, в рамках направления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  <w:proofErr w:type="gramEnd"/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обучающимся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Мининский университет является организатором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фитнес-фестиваля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предусматривающая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Мининский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Мининский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</w:t>
      </w:r>
      <w:proofErr w:type="gram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областях</w:t>
      </w:r>
      <w:proofErr w:type="gram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и Краснодарского края, а также работают в качестве проводников на железной дороге. Кроме того, Мининский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Мининский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представляющую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Мининский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Также, в 2021 году Мининский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пространстве коллективной работы Точка кипения – Мининский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259"/>
        <w:gridCol w:w="1680"/>
        <w:gridCol w:w="2492"/>
        <w:gridCol w:w="2533"/>
        <w:gridCol w:w="510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Виды деятельности </w:t>
            </w:r>
            <w:proofErr w:type="gramStart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обучающихся</w:t>
            </w:r>
            <w:proofErr w:type="gramEnd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30398D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2CE58F22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36B67154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04FC69FF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27B0A77" w14:textId="77777777" w:rsidR="0030398D" w:rsidRPr="00927CA8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254D653A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25312E6D" w:rsidR="0030398D" w:rsidRPr="00927CA8" w:rsidRDefault="0030398D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B4BE21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692D20E2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03537577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33CE1745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045F7F06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48C7711" w14:textId="77777777" w:rsidR="00801123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Исследовательская деятельность студентов</w:t>
            </w:r>
          </w:p>
          <w:p w14:paraId="0BDA5506" w14:textId="5BC097A6" w:rsidR="0030398D" w:rsidRPr="00801123" w:rsidRDefault="00801123" w:rsidP="00801123">
            <w:pPr>
              <w:pStyle w:val="ParaAttribute16"/>
              <w:numPr>
                <w:ilvl w:val="0"/>
                <w:numId w:val="42"/>
              </w:numPr>
              <w:tabs>
                <w:tab w:val="left" w:pos="322"/>
              </w:tabs>
              <w:ind w:left="0" w:firstLine="0"/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</w:tc>
      </w:tr>
      <w:tr w:rsidR="0030398D" w:rsidRPr="00927CA8" w14:paraId="2CF343B2" w14:textId="77777777" w:rsidTr="00801123">
        <w:trPr>
          <w:trHeight w:val="278"/>
        </w:trPr>
        <w:tc>
          <w:tcPr>
            <w:tcW w:w="219" w:type="pct"/>
            <w:shd w:val="clear" w:color="auto" w:fill="auto"/>
          </w:tcPr>
          <w:p w14:paraId="5C67E2CF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34792F98" w:rsidR="0030398D" w:rsidRPr="00927CA8" w:rsidRDefault="00E16A45" w:rsidP="00263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Культурология</w:t>
            </w:r>
          </w:p>
        </w:tc>
        <w:tc>
          <w:tcPr>
            <w:tcW w:w="571" w:type="pct"/>
            <w:vAlign w:val="center"/>
          </w:tcPr>
          <w:p w14:paraId="5AAB047E" w14:textId="7B04C909" w:rsidR="0030398D" w:rsidRPr="00927CA8" w:rsidRDefault="00263080" w:rsidP="00BE0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</w:t>
            </w:r>
            <w:r w:rsidR="00E16A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pct"/>
            <w:shd w:val="clear" w:color="auto" w:fill="auto"/>
          </w:tcPr>
          <w:p w14:paraId="5B2F6759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49CABA8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9721C34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39B0DE5E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514F9011" w:rsidR="0030398D" w:rsidRPr="00927CA8" w:rsidRDefault="0030398D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</w:t>
            </w: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7456C6CC" w14:textId="77777777" w:rsidR="0030398D" w:rsidRPr="00C42403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C704BA3" w14:textId="7E0AE31C" w:rsidR="0030398D" w:rsidRPr="00927CA8" w:rsidRDefault="0030398D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</w:p>
        </w:tc>
        <w:tc>
          <w:tcPr>
            <w:tcW w:w="1734" w:type="pct"/>
            <w:shd w:val="clear" w:color="auto" w:fill="auto"/>
          </w:tcPr>
          <w:p w14:paraId="7869F318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139FC51A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3F43BE83" w14:textId="77777777" w:rsidR="00801123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1B126D2E" w14:textId="24F07AE9" w:rsidR="0030398D" w:rsidRPr="00801123" w:rsidRDefault="00801123" w:rsidP="0080112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</w:pPr>
            <w:r w:rsidRPr="00801123">
              <w:rPr>
                <w:sz w:val="24"/>
                <w:szCs w:val="24"/>
              </w:rPr>
              <w:lastRenderedPageBreak/>
              <w:t>Проектная деятельность студентов</w:t>
            </w:r>
          </w:p>
        </w:tc>
      </w:tr>
      <w:tr w:rsidR="0030398D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158CB65C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523CA23D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7B28EE8D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5482BE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128A60B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55BB4A7" w14:textId="0F76A095" w:rsidR="0030398D" w:rsidRPr="00927CA8" w:rsidRDefault="0030398D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54FB2A87" w:rsidR="0030398D" w:rsidRPr="00927CA8" w:rsidRDefault="0030398D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1888DFA2" w14:textId="77777777" w:rsidR="00801123" w:rsidRPr="00801123" w:rsidRDefault="00801123" w:rsidP="00801123">
            <w:pPr>
              <w:pStyle w:val="a7"/>
              <w:numPr>
                <w:ilvl w:val="0"/>
                <w:numId w:val="41"/>
              </w:numPr>
              <w:tabs>
                <w:tab w:val="left" w:pos="494"/>
              </w:tabs>
              <w:adjustRightInd/>
              <w:ind w:left="0" w:firstLine="0"/>
            </w:pPr>
            <w:r w:rsidRPr="00801123">
              <w:t>Интерактивные формы работы со студентами</w:t>
            </w:r>
          </w:p>
          <w:p w14:paraId="55F7F7EE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66696489" w14:textId="77777777" w:rsidR="00801123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0DB06DC3" w14:textId="7442C5B7" w:rsidR="0030398D" w:rsidRPr="00801123" w:rsidRDefault="00801123" w:rsidP="00801123">
            <w:pPr>
              <w:pStyle w:val="ParaAttribute16"/>
              <w:numPr>
                <w:ilvl w:val="0"/>
                <w:numId w:val="41"/>
              </w:numPr>
              <w:tabs>
                <w:tab w:val="left" w:pos="494"/>
              </w:tabs>
              <w:ind w:left="0" w:firstLine="0"/>
            </w:pPr>
            <w:r w:rsidRPr="00801123">
              <w:rPr>
                <w:sz w:val="24"/>
                <w:szCs w:val="24"/>
              </w:rPr>
              <w:t>Исследовательская деятельность студентов</w:t>
            </w:r>
          </w:p>
        </w:tc>
      </w:tr>
      <w:tr w:rsidR="0030398D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30398D" w:rsidRPr="00927CA8" w:rsidRDefault="0030398D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00A18F14" w:rsidR="0030398D" w:rsidRPr="00927CA8" w:rsidRDefault="0030398D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11FB8783" w14:textId="2CAABD32" w:rsidR="0030398D" w:rsidRPr="00927CA8" w:rsidRDefault="0030398D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  <w:r w:rsidR="004B588B" w:rsidRPr="00E34894">
              <w:rPr>
                <w:rFonts w:ascii="Times New Roman" w:hAnsi="Times New Roman" w:cs="Times New Roman"/>
              </w:rPr>
              <w:t>,</w:t>
            </w:r>
            <w:r w:rsidR="00FE4932">
              <w:rPr>
                <w:rFonts w:ascii="Times New Roman" w:hAnsi="Times New Roman" w:cs="Times New Roman"/>
              </w:rPr>
              <w:t xml:space="preserve"> УК-9</w:t>
            </w:r>
            <w:bookmarkStart w:id="9" w:name="_GoBack"/>
            <w:bookmarkEnd w:id="9"/>
            <w:r w:rsidR="004B588B" w:rsidRPr="00E34894">
              <w:rPr>
                <w:rFonts w:ascii="Times New Roman" w:hAnsi="Times New Roman" w:cs="Times New Roman"/>
              </w:rPr>
              <w:t xml:space="preserve"> ОПК-7</w:t>
            </w:r>
          </w:p>
        </w:tc>
        <w:tc>
          <w:tcPr>
            <w:tcW w:w="847" w:type="pct"/>
            <w:shd w:val="clear" w:color="auto" w:fill="auto"/>
          </w:tcPr>
          <w:p w14:paraId="3A48009D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774C48A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448CCCD2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98A6FCC" w14:textId="689A6223" w:rsidR="0030398D" w:rsidRPr="00927CA8" w:rsidRDefault="0030398D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05B3CE5B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E003347" w14:textId="77777777" w:rsidR="0030398D" w:rsidRPr="00156D4A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4EEFE2B0" w14:textId="48BC09CD" w:rsidR="0030398D" w:rsidRPr="00927CA8" w:rsidRDefault="0030398D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3B7423CD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718E5140" w14:textId="77777777" w:rsidR="005244D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69FA8" w14:textId="77777777" w:rsidR="00801123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63D86442" w14:textId="4717C500" w:rsidR="0030398D" w:rsidRPr="00801123" w:rsidRDefault="005244DD" w:rsidP="0080112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</w:pPr>
            <w:r w:rsidRPr="00801123">
              <w:rPr>
                <w:sz w:val="24"/>
                <w:szCs w:val="24"/>
              </w:rPr>
              <w:t>Проектная деятельность студентов</w:t>
            </w:r>
          </w:p>
        </w:tc>
      </w:tr>
      <w:tr w:rsidR="0030398D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4039DD65" w:rsidR="0030398D" w:rsidRPr="00927CA8" w:rsidRDefault="0030398D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0A1266E7" w:rsidR="0030398D" w:rsidRPr="00927CA8" w:rsidRDefault="0030398D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441BA36" w14:textId="5E9D12B7" w:rsidR="0030398D" w:rsidRPr="00927CA8" w:rsidRDefault="00263080" w:rsidP="00156D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</w:tcPr>
          <w:p w14:paraId="4CE20BA3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Гражданское</w:t>
            </w:r>
          </w:p>
          <w:p w14:paraId="16E543CF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Патриотическое</w:t>
            </w:r>
          </w:p>
          <w:p w14:paraId="74671CA2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32C27B26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9476448" w14:textId="69FB23DD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7F6E8D64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F3335C1" w14:textId="77777777" w:rsidR="005244DD" w:rsidRPr="005244DD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7AA213B0" w:rsidR="0030398D" w:rsidRPr="00927CA8" w:rsidRDefault="005244DD" w:rsidP="005244DD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Студенческое международное сотрудничество</w:t>
            </w:r>
          </w:p>
        </w:tc>
        <w:tc>
          <w:tcPr>
            <w:tcW w:w="1734" w:type="pct"/>
          </w:tcPr>
          <w:p w14:paraId="7F0E34DC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Интерактивные формы работы со студентами</w:t>
            </w:r>
          </w:p>
          <w:p w14:paraId="5F0ED4C8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работы с социально значимой информацией</w:t>
            </w:r>
          </w:p>
          <w:p w14:paraId="5705D60B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15F15896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66E03E3E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 xml:space="preserve">Включение в содержание занятий </w:t>
            </w:r>
            <w:r>
              <w:lastRenderedPageBreak/>
              <w:t>профессионально-ориентированных кейсов с акцентом на этических аспектах профессиональной деятельности</w:t>
            </w:r>
          </w:p>
          <w:p w14:paraId="43C0C2DD" w14:textId="77777777" w:rsid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Исследовательская деятельность студентов</w:t>
            </w:r>
          </w:p>
          <w:p w14:paraId="2CFC0865" w14:textId="5500792B" w:rsidR="0030398D" w:rsidRPr="005244DD" w:rsidRDefault="005244DD" w:rsidP="005244DD">
            <w:pPr>
              <w:pStyle w:val="a7"/>
              <w:numPr>
                <w:ilvl w:val="0"/>
                <w:numId w:val="40"/>
              </w:numPr>
              <w:tabs>
                <w:tab w:val="left" w:pos="494"/>
              </w:tabs>
              <w:ind w:left="31" w:hanging="31"/>
            </w:pPr>
            <w:r>
              <w:t>Организация сотрудничества студентов на занятиях</w:t>
            </w:r>
          </w:p>
        </w:tc>
      </w:tr>
      <w:tr w:rsidR="0030398D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30398D" w:rsidRPr="00927CA8" w:rsidRDefault="0030398D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1365D65D" w:rsidR="0030398D" w:rsidRPr="00927CA8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71" w:type="pct"/>
            <w:vAlign w:val="center"/>
          </w:tcPr>
          <w:p w14:paraId="653A0DB7" w14:textId="44DD5A4B" w:rsidR="0030398D" w:rsidRPr="00927CA8" w:rsidRDefault="0030398D" w:rsidP="00A0557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7ADDC509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8DCE9A6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DFC570D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4A46E15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031FE5BD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9BD296C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68EB030E" w14:textId="77777777" w:rsidR="0030398D" w:rsidRPr="006E4039" w:rsidRDefault="0030398D" w:rsidP="0030398D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1AE1135E" w:rsidR="0030398D" w:rsidRPr="006E4039" w:rsidRDefault="0030398D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53017E3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Организация работы с социально значимой информацией</w:t>
            </w:r>
          </w:p>
          <w:p w14:paraId="7B53700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Исследовательская деятельность студентов</w:t>
            </w:r>
          </w:p>
          <w:p w14:paraId="4AFE706C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Проектная деятельность студентов</w:t>
            </w:r>
          </w:p>
          <w:p w14:paraId="1E2BC703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Привлечение внимания студентов к ценностному аспекту изучаемых явлений и процессов</w:t>
            </w:r>
          </w:p>
          <w:p w14:paraId="6A1E8B74" w14:textId="77777777" w:rsid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7E34FB8C" w14:textId="30D8C7A5" w:rsidR="0030398D" w:rsidRPr="00801123" w:rsidRDefault="00801123" w:rsidP="0080112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01123">
              <w:t>Организация сотрудничества студентов на занятиях</w:t>
            </w:r>
          </w:p>
        </w:tc>
      </w:tr>
      <w:tr w:rsidR="0030398D" w:rsidRPr="00927CA8" w14:paraId="0C095554" w14:textId="77777777" w:rsidTr="00E16A45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30398D" w:rsidRPr="00927CA8" w:rsidRDefault="0030398D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1907AC9F" w:rsidR="0030398D" w:rsidRPr="00927CA8" w:rsidRDefault="0030398D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  <w:vAlign w:val="center"/>
          </w:tcPr>
          <w:p w14:paraId="20B44DE8" w14:textId="32978C01" w:rsidR="0030398D" w:rsidRPr="00E34894" w:rsidRDefault="004B588B" w:rsidP="00E16A45">
            <w:pPr>
              <w:ind w:left="-68"/>
              <w:jc w:val="center"/>
              <w:rPr>
                <w:rFonts w:ascii="Times New Roman" w:hAnsi="Times New Roman" w:cs="Times New Roman"/>
              </w:rPr>
            </w:pPr>
            <w:r w:rsidRPr="00E34894">
              <w:rPr>
                <w:rFonts w:ascii="Times New Roman" w:hAnsi="Times New Roman" w:cs="Times New Roman"/>
              </w:rPr>
              <w:t xml:space="preserve">УК-1, </w:t>
            </w:r>
            <w:r w:rsidR="00263080" w:rsidRPr="00E34894">
              <w:rPr>
                <w:rFonts w:ascii="Times New Roman" w:hAnsi="Times New Roman" w:cs="Times New Roman"/>
              </w:rPr>
              <w:t>ОПК-1</w:t>
            </w:r>
            <w:r w:rsidR="00E34894" w:rsidRPr="00E34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" w:type="pct"/>
            <w:shd w:val="clear" w:color="auto" w:fill="auto"/>
          </w:tcPr>
          <w:p w14:paraId="0C9FDC35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BCFA7A8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85FC009" w14:textId="77777777" w:rsidR="0030398D" w:rsidRPr="00594BEA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01D84B0" w14:textId="2C56D13E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19A6054D" w14:textId="77777777" w:rsidR="0030398D" w:rsidRDefault="0030398D" w:rsidP="0030398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477831BF" w14:textId="11262348" w:rsidR="0030398D" w:rsidRPr="00927CA8" w:rsidRDefault="0030398D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076FCB01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Интерактивные формы работы со студентами; Организация работы с социально значимой информацией; </w:t>
            </w:r>
          </w:p>
          <w:p w14:paraId="2ABEECC6" w14:textId="77777777" w:rsidR="00801123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 xml:space="preserve">Организация сотрудничества студентов на занятиях; </w:t>
            </w:r>
          </w:p>
          <w:p w14:paraId="0E653AF8" w14:textId="77777777" w:rsid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Исследовательская деятельность студентов;</w:t>
            </w:r>
          </w:p>
          <w:p w14:paraId="6919561C" w14:textId="5C940107" w:rsidR="0030398D" w:rsidRPr="00801123" w:rsidRDefault="0030398D" w:rsidP="00801123">
            <w:pPr>
              <w:pStyle w:val="a7"/>
              <w:widowControl/>
              <w:numPr>
                <w:ilvl w:val="0"/>
                <w:numId w:val="43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01123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  <w:tr w:rsidR="0030398D" w:rsidRPr="00927CA8" w14:paraId="0272B5F2" w14:textId="77777777" w:rsidTr="0030398D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30398D" w:rsidRPr="00927CA8" w:rsidRDefault="0030398D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</w:tcPr>
          <w:p w14:paraId="5D061EE8" w14:textId="1D149FB7" w:rsidR="0030398D" w:rsidRPr="00927CA8" w:rsidRDefault="0030398D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</w:tcPr>
          <w:p w14:paraId="4EDC9F05" w14:textId="1B6C0A37" w:rsidR="0030398D" w:rsidRPr="00927CA8" w:rsidRDefault="0030398D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  <w:r w:rsidR="00E00EF2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 xml:space="preserve">, </w:t>
            </w:r>
            <w:r w:rsidR="00E00EF2" w:rsidRPr="00E34894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ОПК-6</w:t>
            </w:r>
          </w:p>
        </w:tc>
        <w:tc>
          <w:tcPr>
            <w:tcW w:w="847" w:type="pct"/>
            <w:shd w:val="clear" w:color="auto" w:fill="auto"/>
          </w:tcPr>
          <w:p w14:paraId="2125B24F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E36535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5283E38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 xml:space="preserve">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CD5C82" w14:textId="33E7CFB9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F18BCD4" w14:textId="77777777" w:rsidR="0030398D" w:rsidRPr="007741F9" w:rsidRDefault="0030398D" w:rsidP="0030398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Учебно-исследовательская</w:t>
            </w:r>
          </w:p>
          <w:p w14:paraId="6162AAF6" w14:textId="5310FBF0" w:rsidR="0030398D" w:rsidRPr="00927CA8" w:rsidRDefault="0030398D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оздоровительная</w:t>
            </w:r>
          </w:p>
        </w:tc>
        <w:tc>
          <w:tcPr>
            <w:tcW w:w="1734" w:type="pct"/>
            <w:shd w:val="clear" w:color="auto" w:fill="auto"/>
          </w:tcPr>
          <w:p w14:paraId="251B4EA4" w14:textId="77777777" w:rsid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lastRenderedPageBreak/>
              <w:t xml:space="preserve">Включение в содержание занятий профессионально-ориентированных кейсов с акцентом на этических аспектах </w:t>
            </w:r>
            <w:r w:rsidRPr="005244DD">
              <w:rPr>
                <w:iCs/>
                <w:kern w:val="2"/>
                <w:lang w:eastAsia="ko-KR"/>
              </w:rPr>
              <w:lastRenderedPageBreak/>
              <w:t xml:space="preserve">профессиональной деятельности; </w:t>
            </w:r>
          </w:p>
          <w:p w14:paraId="21458101" w14:textId="23A4A5AC" w:rsidR="0030398D" w:rsidRPr="005244DD" w:rsidRDefault="0030398D" w:rsidP="005244DD">
            <w:pPr>
              <w:pStyle w:val="a7"/>
              <w:widowControl/>
              <w:numPr>
                <w:ilvl w:val="0"/>
                <w:numId w:val="39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</w:tc>
      </w:tr>
      <w:tr w:rsidR="0030398D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30398D" w:rsidRPr="00927CA8" w:rsidRDefault="0030398D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6CA63656" w:rsidR="0030398D" w:rsidRPr="00927CA8" w:rsidRDefault="0030398D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163D2AB4" w14:textId="39492A3A" w:rsidR="0030398D" w:rsidRPr="00927CA8" w:rsidRDefault="00E00EF2" w:rsidP="0030398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14:paraId="5E737867" w14:textId="3C4117BB" w:rsidR="0030398D" w:rsidRPr="00927CA8" w:rsidRDefault="0030398D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</w:p>
        </w:tc>
        <w:tc>
          <w:tcPr>
            <w:tcW w:w="847" w:type="pct"/>
          </w:tcPr>
          <w:p w14:paraId="5D36CB1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A1B139E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9B638A8" w14:textId="05841620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</w:tcPr>
          <w:p w14:paraId="3DAA0FA0" w14:textId="77777777" w:rsidR="005244DD" w:rsidRPr="005244DD" w:rsidRDefault="005244DD" w:rsidP="005244D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  <w:p w14:paraId="1E74DCD3" w14:textId="40263535" w:rsidR="0030398D" w:rsidRPr="007741F9" w:rsidRDefault="005244DD" w:rsidP="005244DD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</w:tc>
        <w:tc>
          <w:tcPr>
            <w:tcW w:w="1734" w:type="pct"/>
          </w:tcPr>
          <w:p w14:paraId="57C59CBC" w14:textId="118E579A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Интерактивные формы работы со студентами</w:t>
            </w:r>
          </w:p>
          <w:p w14:paraId="531ACC5C" w14:textId="278EC1B1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461ECD1F" w14:textId="71167728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6B00717" w14:textId="576E6C59" w:rsidR="005244D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  <w:p w14:paraId="04485F2D" w14:textId="4343DDD4" w:rsidR="0030398D" w:rsidRPr="005244DD" w:rsidRDefault="005244DD" w:rsidP="005244DD">
            <w:pPr>
              <w:pStyle w:val="a7"/>
              <w:numPr>
                <w:ilvl w:val="0"/>
                <w:numId w:val="37"/>
              </w:numPr>
              <w:tabs>
                <w:tab w:val="left" w:pos="429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  <w:proofErr w:type="gramEnd"/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  <w:proofErr w:type="gramEnd"/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включение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 работа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proofErr w:type="gramEnd"/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Мининский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  <w:proofErr w:type="gramEnd"/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пп в ст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</w:t>
      </w:r>
      <w:proofErr w:type="gramStart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вовлечение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возможности каждого обучающегося в ключевые дела вуза в одной из возможных для них ролей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ориентированы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молодежном общественном объединении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  <w:proofErr w:type="gramEnd"/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рамках международного студенческого сотрудничества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  <w:proofErr w:type="gramEnd"/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  <w:proofErr w:type="gramEnd"/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модульная образовательная программа дополнительного образования – программа подготовки волонтеров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Инклюзивное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  <w:proofErr w:type="gramEnd"/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  <w:proofErr w:type="gramEnd"/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2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Способами получения информации могут выступать опросные методы: анкетирование, интервьюирование,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фокус-групповые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DA664" w14:textId="77777777" w:rsidR="004839EC" w:rsidRDefault="004839EC" w:rsidP="00E8637C">
      <w:r>
        <w:separator/>
      </w:r>
    </w:p>
  </w:endnote>
  <w:endnote w:type="continuationSeparator" w:id="0">
    <w:p w14:paraId="465584D1" w14:textId="77777777" w:rsidR="004839EC" w:rsidRDefault="004839EC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C5E09" w14:textId="67FB2A05" w:rsidR="0038089B" w:rsidRPr="009B5B28" w:rsidRDefault="0038089B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FE4932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72FD7" w14:textId="39979870" w:rsidR="0038089B" w:rsidRPr="00E8637C" w:rsidRDefault="0038089B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FE4932">
      <w:rPr>
        <w:rFonts w:ascii="Times New Roman" w:hAnsi="Times New Roman" w:cs="Times New Roman"/>
        <w:noProof/>
        <w:sz w:val="28"/>
        <w:szCs w:val="28"/>
      </w:rPr>
      <w:t>32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734E5" w14:textId="77777777" w:rsidR="004839EC" w:rsidRDefault="004839EC" w:rsidP="00E8637C">
      <w:r>
        <w:separator/>
      </w:r>
    </w:p>
  </w:footnote>
  <w:footnote w:type="continuationSeparator" w:id="0">
    <w:p w14:paraId="165EE368" w14:textId="77777777" w:rsidR="004839EC" w:rsidRDefault="004839EC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63493" w14:textId="77777777" w:rsidR="0038089B" w:rsidRDefault="0038089B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38089B" w:rsidRDefault="0038089B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14:paraId="607DCE1A" w14:textId="77777777" w:rsidR="0030398D" w:rsidRDefault="0030398D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>
    <w:nsid w:val="3EC605B3"/>
    <w:multiLevelType w:val="hybridMultilevel"/>
    <w:tmpl w:val="9578C6A2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2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4A7100"/>
    <w:multiLevelType w:val="hybridMultilevel"/>
    <w:tmpl w:val="93DE379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7"/>
  </w:num>
  <w:num w:numId="6">
    <w:abstractNumId w:val="4"/>
  </w:num>
  <w:num w:numId="7">
    <w:abstractNumId w:val="13"/>
  </w:num>
  <w:num w:numId="8">
    <w:abstractNumId w:val="31"/>
  </w:num>
  <w:num w:numId="9">
    <w:abstractNumId w:val="20"/>
  </w:num>
  <w:num w:numId="10">
    <w:abstractNumId w:val="11"/>
  </w:num>
  <w:num w:numId="11">
    <w:abstractNumId w:val="27"/>
  </w:num>
  <w:num w:numId="12">
    <w:abstractNumId w:val="8"/>
  </w:num>
  <w:num w:numId="13">
    <w:abstractNumId w:val="29"/>
  </w:num>
  <w:num w:numId="14">
    <w:abstractNumId w:val="12"/>
  </w:num>
  <w:num w:numId="15">
    <w:abstractNumId w:val="25"/>
  </w:num>
  <w:num w:numId="16">
    <w:abstractNumId w:val="5"/>
  </w:num>
  <w:num w:numId="17">
    <w:abstractNumId w:val="9"/>
  </w:num>
  <w:num w:numId="18">
    <w:abstractNumId w:val="34"/>
  </w:num>
  <w:num w:numId="19">
    <w:abstractNumId w:val="30"/>
  </w:num>
  <w:num w:numId="20">
    <w:abstractNumId w:val="19"/>
  </w:num>
  <w:num w:numId="21">
    <w:abstractNumId w:val="28"/>
  </w:num>
  <w:num w:numId="22">
    <w:abstractNumId w:val="26"/>
  </w:num>
  <w:num w:numId="23">
    <w:abstractNumId w:val="22"/>
  </w:num>
  <w:num w:numId="24">
    <w:abstractNumId w:val="24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6"/>
  </w:num>
  <w:num w:numId="30">
    <w:abstractNumId w:val="38"/>
  </w:num>
  <w:num w:numId="31">
    <w:abstractNumId w:val="42"/>
  </w:num>
  <w:num w:numId="32">
    <w:abstractNumId w:val="16"/>
  </w:num>
  <w:num w:numId="33">
    <w:abstractNumId w:val="23"/>
  </w:num>
  <w:num w:numId="34">
    <w:abstractNumId w:val="39"/>
  </w:num>
  <w:num w:numId="35">
    <w:abstractNumId w:val="14"/>
  </w:num>
  <w:num w:numId="36">
    <w:abstractNumId w:val="32"/>
  </w:num>
  <w:num w:numId="37">
    <w:abstractNumId w:val="21"/>
  </w:num>
  <w:num w:numId="38">
    <w:abstractNumId w:val="33"/>
  </w:num>
  <w:num w:numId="39">
    <w:abstractNumId w:val="41"/>
  </w:num>
  <w:num w:numId="40">
    <w:abstractNumId w:val="18"/>
  </w:num>
  <w:num w:numId="41">
    <w:abstractNumId w:val="35"/>
  </w:num>
  <w:num w:numId="42">
    <w:abstractNumId w:val="1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52"/>
    <w:rsid w:val="000011B9"/>
    <w:rsid w:val="0001622F"/>
    <w:rsid w:val="00051899"/>
    <w:rsid w:val="00054295"/>
    <w:rsid w:val="00061330"/>
    <w:rsid w:val="000939A4"/>
    <w:rsid w:val="000A112E"/>
    <w:rsid w:val="000D0F82"/>
    <w:rsid w:val="000D400F"/>
    <w:rsid w:val="001242CC"/>
    <w:rsid w:val="00156D4A"/>
    <w:rsid w:val="001576CE"/>
    <w:rsid w:val="00190141"/>
    <w:rsid w:val="00191039"/>
    <w:rsid w:val="001C2829"/>
    <w:rsid w:val="001D005F"/>
    <w:rsid w:val="001D1304"/>
    <w:rsid w:val="00223E03"/>
    <w:rsid w:val="0024079A"/>
    <w:rsid w:val="00241070"/>
    <w:rsid w:val="00263080"/>
    <w:rsid w:val="00277893"/>
    <w:rsid w:val="00293AF3"/>
    <w:rsid w:val="002943A1"/>
    <w:rsid w:val="002943BA"/>
    <w:rsid w:val="002A0620"/>
    <w:rsid w:val="002B1592"/>
    <w:rsid w:val="0030398D"/>
    <w:rsid w:val="0031020D"/>
    <w:rsid w:val="00377D67"/>
    <w:rsid w:val="0038089B"/>
    <w:rsid w:val="00386D06"/>
    <w:rsid w:val="003E34D4"/>
    <w:rsid w:val="003F0F8F"/>
    <w:rsid w:val="003F1276"/>
    <w:rsid w:val="004839EC"/>
    <w:rsid w:val="004B080B"/>
    <w:rsid w:val="004B588B"/>
    <w:rsid w:val="004D1B08"/>
    <w:rsid w:val="004E0364"/>
    <w:rsid w:val="005244DD"/>
    <w:rsid w:val="005310CF"/>
    <w:rsid w:val="00550F68"/>
    <w:rsid w:val="00594633"/>
    <w:rsid w:val="00594BEA"/>
    <w:rsid w:val="005A4295"/>
    <w:rsid w:val="005A7A8A"/>
    <w:rsid w:val="005D54FC"/>
    <w:rsid w:val="005E15F8"/>
    <w:rsid w:val="005F1BB1"/>
    <w:rsid w:val="00617852"/>
    <w:rsid w:val="0064450B"/>
    <w:rsid w:val="00672CB1"/>
    <w:rsid w:val="006747D2"/>
    <w:rsid w:val="006901CF"/>
    <w:rsid w:val="006B7910"/>
    <w:rsid w:val="006D1442"/>
    <w:rsid w:val="006D6984"/>
    <w:rsid w:val="006E4039"/>
    <w:rsid w:val="006F0C11"/>
    <w:rsid w:val="006F66D2"/>
    <w:rsid w:val="007741F9"/>
    <w:rsid w:val="007A69B0"/>
    <w:rsid w:val="00801123"/>
    <w:rsid w:val="00801EC4"/>
    <w:rsid w:val="0082763D"/>
    <w:rsid w:val="00855579"/>
    <w:rsid w:val="008579FA"/>
    <w:rsid w:val="00885D52"/>
    <w:rsid w:val="008A643E"/>
    <w:rsid w:val="008A6684"/>
    <w:rsid w:val="008B650F"/>
    <w:rsid w:val="008C3782"/>
    <w:rsid w:val="008E3DA8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05572"/>
    <w:rsid w:val="00A278B4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00EF2"/>
    <w:rsid w:val="00E0237C"/>
    <w:rsid w:val="00E11761"/>
    <w:rsid w:val="00E16A45"/>
    <w:rsid w:val="00E178AA"/>
    <w:rsid w:val="00E32D1B"/>
    <w:rsid w:val="00E34894"/>
    <w:rsid w:val="00E81360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82A6D"/>
    <w:rsid w:val="00F93E9B"/>
    <w:rsid w:val="00FA3702"/>
    <w:rsid w:val="00FA48A0"/>
    <w:rsid w:val="00FC735A"/>
    <w:rsid w:val="00FE4932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A6170-1C37-4FF2-B1F4-1B5C186B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38</Pages>
  <Words>12563</Words>
  <Characters>71614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Григорьева</cp:lastModifiedBy>
  <cp:revision>9</cp:revision>
  <dcterms:created xsi:type="dcterms:W3CDTF">2021-08-26T20:01:00Z</dcterms:created>
  <dcterms:modified xsi:type="dcterms:W3CDTF">2021-12-08T11:39:00Z</dcterms:modified>
</cp:coreProperties>
</file>