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customXml/_rels/item1.xml.rels" ContentType="application/vnd.openxmlformats-package.relationships+xml"/>
  <Override PartName="/customXml/item1.xml" ContentType="application/xml"/>
  <Override PartName="/customXml/itemProps1.xml" ContentType="application/vnd.openxmlformats-officedocument.customXmlProperties+xml"/>
  <Override PartName="/docProps/custom.xml" ContentType="application/vnd.openxmlformats-officedocument.custom-propertie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theme/theme1.xml" ContentType="application/vnd.openxmlformats-officedocument.theme+xml"/>
  <Override PartName="/word/document.xml" ContentType="application/vnd.openxmlformats-officedocument.wordprocessingml.document.main+xml"/>
  <Override PartName="/word/media/image2.png" ContentType="image/png"/>
  <Override PartName="/word/media/image1.png" ContentType="image/png"/>
  <Override PartName="/word/settings.xml" ContentType="application/vnd.openxmlformats-officedocument.wordprocessingml.settings+xml"/>
  <Override PartName="/word/footnotes.xml" ContentType="application/vnd.openxmlformats-officedocument.wordprocessingml.footnote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spacing w:before="0" w:after="0"/>
        <w:contextualSpacing/>
        <w:jc w:val="center"/>
        <w:rPr>
          <w:rFonts w:ascii="Times New Roman" w:hAnsi="Times New Roman" w:eastAsia="Times New Roman"/>
          <w:sz w:val="28"/>
          <w:szCs w:val="28"/>
        </w:rPr>
      </w:pPr>
      <w:r>
        <w:rPr/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940425" cy="8404860"/>
            <wp:effectExtent l="0" t="0" r="0" b="0"/>
            <wp:wrapSquare wrapText="largest"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48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pStyle w:val="Normal"/>
        <w:spacing w:before="0" w:after="0"/>
        <w:contextualSpacing/>
        <w:jc w:val="center"/>
        <w:rPr>
          <w:rFonts w:ascii="Times New Roman" w:hAnsi="Times New Roman" w:eastAsia="Times New Roman"/>
          <w:sz w:val="28"/>
          <w:szCs w:val="28"/>
        </w:rPr>
      </w:pPr>
      <w:r>
        <w:rPr>
          <w:rFonts w:eastAsia="TimesNewRoman" w:ascii="Times New Roman" w:hAnsi="Times New Roman"/>
          <w:b/>
          <w:bCs/>
          <w:sz w:val="24"/>
          <w:szCs w:val="24"/>
        </w:rPr>
        <w:drawing>
          <wp:anchor behindDoc="0" distT="0" distB="0" distL="0" distR="0" simplePos="0" locked="0" layoutInCell="1" allowOverlap="1" relativeHeight="3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940425" cy="8404860"/>
            <wp:effectExtent l="0" t="0" r="0" b="0"/>
            <wp:wrapSquare wrapText="largest"/>
            <wp:docPr id="2" name="Изображение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48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pStyle w:val="Normal"/>
        <w:jc w:val="center"/>
        <w:rPr>
          <w:rFonts w:ascii="Times New Roman" w:hAnsi="Times New Roman" w:eastAsia="TimesNewRoman"/>
          <w:b/>
          <w:b/>
          <w:bCs/>
          <w:sz w:val="24"/>
          <w:szCs w:val="24"/>
        </w:rPr>
      </w:pPr>
      <w:r>
        <w:rPr>
          <w:rFonts w:eastAsia="TimesNewRoman" w:ascii="Times New Roman" w:hAnsi="Times New Roman"/>
          <w:b/>
          <w:bCs/>
          <w:sz w:val="24"/>
          <w:szCs w:val="24"/>
        </w:rPr>
        <w:t>Введение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>Комплексный экзамен готовности к профессиональной деятельности (далее – комплексный экзамен или КЭГ) – комплексное испытание, направленное на определение соответствия реальных достигаемых образовательных результатов социальным и личностным ожиданиям о степени готовности к профессиональной деятельности. КЭГ проводится с привлечением представителей региональных органов управления образованием и представителей организаций-работодателей. Комплексный экзамен включает следующие компоненты: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 xml:space="preserve">- тестирование по педагогике и психологии,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 xml:space="preserve">- представление портфолио аттестуемого,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 xml:space="preserve">- защита курсового проекта по дисциплине (-нам) предметной области будущей педагогической деятельности.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>Тестирование по педагогике и психологии как часть КЭГ носит междисциплинарный характер и направлено на определение уровня сформированности знаниевой и деятельностной составляющей компетенции в данных областях. Тестирование по педагогике и психологии проводится с использованием кейсов, контекстных задач и др.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 xml:space="preserve">Портфолио обучающегося – документально зафиксированные результаты, подтверждающие индивидуальные достижения обучающегося в разнообразных видах деятельности. Портфолио оценивается на основании критериев и показателей, разработанных в соответствии с </w:t>
      </w:r>
      <w:r>
        <w:rPr>
          <w:rFonts w:ascii="Times New Roman" w:hAnsi="Times New Roman"/>
          <w:sz w:val="24"/>
          <w:szCs w:val="24"/>
        </w:rPr>
        <w:t>Профессиональным стандартом педагога</w:t>
      </w:r>
      <w:r>
        <w:rPr>
          <w:rFonts w:ascii="Times New Roman" w:hAnsi="Times New Roman"/>
          <w:color w:val="FF0000"/>
          <w:sz w:val="24"/>
          <w:szCs w:val="24"/>
        </w:rPr>
        <w:t xml:space="preserve"> </w:t>
      </w:r>
      <w:r>
        <w:rPr>
          <w:rFonts w:eastAsia="TimesNewRoman" w:ascii="Times New Roman" w:hAnsi="Times New Roman"/>
          <w:iCs/>
          <w:sz w:val="24"/>
          <w:szCs w:val="24"/>
        </w:rPr>
        <w:t xml:space="preserve"> и  результативностью деятельности аттестуемого.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 xml:space="preserve">Защита курсового проекта по дисциплине (-нам) предметной области будущей педагогической деятельности направлена на выявление объективной оценки результата достижений по исследуемой проблеме, значимой для аттестуемого и работодателей. </w:t>
      </w:r>
      <w:r>
        <w:rPr>
          <w:rFonts w:ascii="Times New Roman" w:hAnsi="Times New Roman"/>
          <w:sz w:val="24"/>
          <w:szCs w:val="24"/>
        </w:rPr>
        <w:t xml:space="preserve">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>Комплексный экзамен проводится в летний период перед распределением квот на места целевой подготовки.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 xml:space="preserve">Программа составлена с учетом квалификационной характеристики педагога, содержащейся в Профессиональном стандарте педагога и федеральном государственном образовательном стандарте высшего образования по укрупненной группе направления подготовки «Образование и педагогические науки», рабочих учебных программ дисциплин.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 xml:space="preserve">Программа КЭГ адресована обучающимся  </w:t>
      </w:r>
      <w:r>
        <w:rPr>
          <w:rFonts w:ascii="Times New Roman" w:hAnsi="Times New Roman"/>
          <w:bCs/>
          <w:sz w:val="24"/>
          <w:szCs w:val="24"/>
        </w:rPr>
        <w:t>44.03.05 Педагогическое образование/ п</w:t>
      </w:r>
      <w:r>
        <w:rPr>
          <w:rFonts w:ascii="Times New Roman" w:hAnsi="Times New Roman"/>
          <w:sz w:val="24"/>
          <w:szCs w:val="24"/>
        </w:rPr>
        <w:t>рофиль подготовки «</w:t>
      </w:r>
      <w:r>
        <w:rPr>
          <w:rFonts w:ascii="Times New Roman" w:hAnsi="Times New Roman"/>
          <w:bCs/>
          <w:sz w:val="24"/>
          <w:szCs w:val="24"/>
        </w:rPr>
        <w:t>Физика и математика»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</w:r>
    </w:p>
    <w:p>
      <w:pPr>
        <w:pStyle w:val="Normal"/>
        <w:spacing w:before="0" w:after="120"/>
        <w:jc w:val="center"/>
        <w:rPr>
          <w:rFonts w:ascii="Times New Roman" w:hAnsi="Times New Roman"/>
          <w:b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1. Цель и задачи комплексного экзамена</w:t>
      </w:r>
    </w:p>
    <w:tbl>
      <w:tblPr>
        <w:tblW w:w="9322" w:type="dxa"/>
        <w:jc w:val="left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2363"/>
        <w:gridCol w:w="6958"/>
      </w:tblGrid>
      <w:tr>
        <w:trPr>
          <w:trHeight w:val="1345" w:hRule="atLeast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Цель проведения</w:t>
            </w:r>
          </w:p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комплексного</w:t>
            </w:r>
          </w:p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экзамена</w:t>
            </w:r>
          </w:p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6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both"/>
              <w:rPr>
                <w:rFonts w:ascii="Times New Roman" w:hAnsi="Times New Roman" w:eastAsia="Calibri,Italic"/>
                <w:i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определение соответствия реальных достигаемых образовательных результатов социальным и личностным ожиданиям о степени готовности к профессиональной деятельности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>
        <w:trPr/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Задачи</w:t>
            </w:r>
          </w:p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проведения</w:t>
            </w:r>
          </w:p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комплексного</w:t>
            </w:r>
          </w:p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экзамена</w:t>
            </w:r>
          </w:p>
        </w:tc>
        <w:tc>
          <w:tcPr>
            <w:tcW w:w="6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определение соответствия уровня мотивационной  готовности к профессиональной деятельности требованиям ФГОС ВО и работодателей;</w:t>
            </w:r>
          </w:p>
          <w:p>
            <w:pPr>
              <w:pStyle w:val="Normal"/>
              <w:spacing w:before="0" w:after="0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оценка уровня сформированности образовательных результатов в области педагогики, психологии, определяющих профессиональные способности выпускника;</w:t>
            </w:r>
          </w:p>
          <w:p>
            <w:pPr>
              <w:pStyle w:val="Normal"/>
              <w:spacing w:before="0" w:after="0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оценка уровня сформированности образовательных результатов по предмету будущей педагогической деятельности;</w:t>
            </w:r>
          </w:p>
          <w:p>
            <w:pPr>
              <w:pStyle w:val="Normal"/>
              <w:spacing w:before="0" w:after="0"/>
              <w:ind w:firstLine="709"/>
              <w:jc w:val="both"/>
              <w:rPr>
                <w:rFonts w:ascii="Times New Roman" w:hAnsi="Times New Roman" w:eastAsia="Times New Roman"/>
                <w:b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оценка индивидуальных достижений в профессионально-ориентированных видах деятельности.</w:t>
            </w:r>
          </w:p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i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iCs/>
                <w:sz w:val="24"/>
                <w:szCs w:val="24"/>
              </w:rPr>
            </w:r>
          </w:p>
        </w:tc>
      </w:tr>
    </w:tbl>
    <w:p>
      <w:pPr>
        <w:pStyle w:val="Normal"/>
        <w:widowControl w:val="false"/>
        <w:spacing w:before="0" w:after="0"/>
        <w:ind w:firstLine="709"/>
        <w:jc w:val="center"/>
        <w:rPr>
          <w:rFonts w:ascii="Times New Roman" w:hAnsi="Times New Roman"/>
          <w:b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</w:r>
    </w:p>
    <w:p>
      <w:pPr>
        <w:pStyle w:val="Normal"/>
        <w:widowControl w:val="false"/>
        <w:spacing w:before="0" w:after="120"/>
        <w:ind w:firstLine="709"/>
        <w:jc w:val="center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2. Требования к уровню подготовки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КЭГ ставит своей целью комплексно оценить степень соответствия мотивационной, практической и теоретической подготовленности аттестуемого к получению профильного педагогического образования для продолжения специализированного обучения педагогической профессии и последующего трудоустройства в образовательные организации.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На комплексном экзамене аттестуемый должен:</w:t>
      </w:r>
    </w:p>
    <w:p>
      <w:pPr>
        <w:pStyle w:val="Normal"/>
        <w:numPr>
          <w:ilvl w:val="0"/>
          <w:numId w:val="4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продемонстрировать </w:t>
      </w:r>
      <w:r>
        <w:rPr>
          <w:rFonts w:ascii="Times New Roman" w:hAnsi="Times New Roman"/>
          <w:b/>
          <w:sz w:val="24"/>
          <w:szCs w:val="24"/>
        </w:rPr>
        <w:t>мотивационную готовность</w:t>
      </w:r>
      <w:r>
        <w:rPr>
          <w:rFonts w:ascii="Times New Roman" w:hAnsi="Times New Roman"/>
          <w:sz w:val="24"/>
          <w:szCs w:val="24"/>
        </w:rPr>
        <w:t xml:space="preserve"> к осуществлению следующих </w:t>
      </w:r>
      <w:r>
        <w:rPr>
          <w:rFonts w:ascii="Times New Roman" w:hAnsi="Times New Roman"/>
          <w:b/>
          <w:bCs/>
          <w:sz w:val="24"/>
          <w:szCs w:val="24"/>
        </w:rPr>
        <w:t>видов деятельности</w:t>
      </w:r>
      <w:r>
        <w:rPr>
          <w:rFonts w:ascii="Times New Roman" w:hAnsi="Times New Roman"/>
          <w:sz w:val="24"/>
          <w:szCs w:val="24"/>
        </w:rPr>
        <w:t>: учебной, исследовательской, проектной, педагогической;</w:t>
      </w:r>
    </w:p>
    <w:p>
      <w:pPr>
        <w:pStyle w:val="Normal"/>
        <w:numPr>
          <w:ilvl w:val="0"/>
          <w:numId w:val="4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продемонстрировать </w:t>
      </w:r>
      <w:r>
        <w:rPr>
          <w:rFonts w:ascii="Times New Roman" w:hAnsi="Times New Roman"/>
          <w:b/>
          <w:sz w:val="24"/>
          <w:szCs w:val="24"/>
        </w:rPr>
        <w:t xml:space="preserve">уровень достигнутых </w:t>
      </w:r>
      <w:r>
        <w:rPr>
          <w:rFonts w:ascii="Times New Roman" w:hAnsi="Times New Roman"/>
          <w:sz w:val="24"/>
          <w:szCs w:val="24"/>
        </w:rPr>
        <w:t>образовательных результатов в области педагогики,  психологии, определяющих профессиональные способности выпускника;</w:t>
      </w:r>
    </w:p>
    <w:p>
      <w:pPr>
        <w:pStyle w:val="Normal"/>
        <w:numPr>
          <w:ilvl w:val="0"/>
          <w:numId w:val="4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продемонстрировать </w:t>
      </w:r>
      <w:r>
        <w:rPr>
          <w:rFonts w:ascii="Times New Roman" w:hAnsi="Times New Roman"/>
          <w:b/>
          <w:sz w:val="24"/>
          <w:szCs w:val="24"/>
        </w:rPr>
        <w:t xml:space="preserve">уровень достигнутых </w:t>
      </w:r>
      <w:r>
        <w:rPr>
          <w:rFonts w:ascii="Times New Roman" w:hAnsi="Times New Roman"/>
          <w:sz w:val="24"/>
          <w:szCs w:val="24"/>
        </w:rPr>
        <w:t>образовательных результатов по предмету будущей педагогической деятельности;</w:t>
      </w:r>
    </w:p>
    <w:p>
      <w:pPr>
        <w:pStyle w:val="Normal"/>
        <w:numPr>
          <w:ilvl w:val="0"/>
          <w:numId w:val="4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подготовленности к решению </w:t>
      </w:r>
      <w:r>
        <w:rPr>
          <w:rFonts w:ascii="Times New Roman" w:hAnsi="Times New Roman"/>
          <w:sz w:val="24"/>
          <w:szCs w:val="24"/>
        </w:rPr>
        <w:t xml:space="preserve">следующих </w:t>
      </w:r>
      <w:r>
        <w:rPr>
          <w:rFonts w:ascii="Times New Roman" w:hAnsi="Times New Roman"/>
          <w:b/>
          <w:bCs/>
          <w:sz w:val="24"/>
          <w:szCs w:val="24"/>
        </w:rPr>
        <w:t>профессиональных задач</w:t>
      </w:r>
      <w:r>
        <w:rPr>
          <w:rFonts w:ascii="Times New Roman" w:hAnsi="Times New Roman"/>
          <w:sz w:val="24"/>
          <w:szCs w:val="24"/>
        </w:rPr>
        <w:t>: организационных, воспитательных, диагностических.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рамках проведения комплексного экзамена оцениваются следующие образовательные результаты, соответствующие </w:t>
      </w:r>
      <w:r>
        <w:rPr>
          <w:rFonts w:eastAsia="TimesNewRoman" w:ascii="Times New Roman" w:hAnsi="Times New Roman"/>
          <w:iCs/>
          <w:sz w:val="24"/>
          <w:szCs w:val="24"/>
        </w:rPr>
        <w:t>Профессиональному стандарту и ФГОС ВО:</w:t>
      </w:r>
    </w:p>
    <w:tbl>
      <w:tblPr>
        <w:tblW w:w="9465" w:type="dxa"/>
        <w:jc w:val="left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1698"/>
        <w:gridCol w:w="7766"/>
      </w:tblGrid>
      <w:tr>
        <w:trPr>
          <w:trHeight w:val="613" w:hRule="atLeast"/>
        </w:trPr>
        <w:tc>
          <w:tcPr>
            <w:tcW w:w="1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Шифр компетенции</w:t>
            </w:r>
          </w:p>
        </w:tc>
        <w:tc>
          <w:tcPr>
            <w:tcW w:w="7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Расшифровка компетенции</w:t>
            </w:r>
          </w:p>
        </w:tc>
      </w:tr>
      <w:tr>
        <w:trPr/>
        <w:tc>
          <w:tcPr>
            <w:tcW w:w="1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УК-6</w:t>
            </w:r>
          </w:p>
        </w:tc>
        <w:tc>
          <w:tcPr>
            <w:tcW w:w="7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Способен управлять своим временем, выстраивать и реализовывать траекторию саморазвития на основе принципов образования в течение всей жизни</w:t>
            </w:r>
          </w:p>
        </w:tc>
      </w:tr>
      <w:tr>
        <w:trPr/>
        <w:tc>
          <w:tcPr>
            <w:tcW w:w="1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ОПК-8</w:t>
            </w:r>
          </w:p>
        </w:tc>
        <w:tc>
          <w:tcPr>
            <w:tcW w:w="7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Способен осуществлять педагогическую деятельность на основе специальных научных знаний</w:t>
            </w:r>
          </w:p>
        </w:tc>
      </w:tr>
    </w:tbl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</w:r>
    </w:p>
    <w:tbl>
      <w:tblPr>
        <w:tblW w:w="9464" w:type="dxa"/>
        <w:jc w:val="left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1381"/>
        <w:gridCol w:w="5956"/>
        <w:gridCol w:w="1"/>
        <w:gridCol w:w="2126"/>
      </w:tblGrid>
      <w:tr>
        <w:trPr>
          <w:trHeight w:val="555" w:hRule="atLeast"/>
        </w:trPr>
        <w:tc>
          <w:tcPr>
            <w:tcW w:w="733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Образовательные результаты (ОР)</w:t>
            </w:r>
          </w:p>
        </w:tc>
        <w:tc>
          <w:tcPr>
            <w:tcW w:w="21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Компетенции </w:t>
            </w:r>
          </w:p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в соответствии с ФГОС ВО</w:t>
            </w:r>
          </w:p>
        </w:tc>
      </w:tr>
      <w:tr>
        <w:trPr>
          <w:trHeight w:val="555" w:hRule="atLeast"/>
        </w:trPr>
        <w:tc>
          <w:tcPr>
            <w:tcW w:w="1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Шифр</w:t>
            </w:r>
          </w:p>
        </w:tc>
        <w:tc>
          <w:tcPr>
            <w:tcW w:w="5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Расшифровка</w:t>
            </w:r>
          </w:p>
        </w:tc>
        <w:tc>
          <w:tcPr>
            <w:tcW w:w="2127" w:type="dxa"/>
            <w:gridSpan w:val="2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</w:r>
          </w:p>
        </w:tc>
      </w:tr>
      <w:tr>
        <w:trPr/>
        <w:tc>
          <w:tcPr>
            <w:tcW w:w="1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5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владение электронным сервисом «Портфолио»</w:t>
            </w:r>
          </w:p>
        </w:tc>
        <w:tc>
          <w:tcPr>
            <w:tcW w:w="21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160" w:leader="none"/>
                <w:tab w:val="left" w:pos="415" w:leader="none"/>
              </w:tabs>
              <w:spacing w:before="0"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ОПК-8</w:t>
            </w:r>
          </w:p>
        </w:tc>
      </w:tr>
      <w:tr>
        <w:trPr/>
        <w:tc>
          <w:tcPr>
            <w:tcW w:w="1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5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знания в области педагогики и психологии</w:t>
            </w:r>
          </w:p>
        </w:tc>
        <w:tc>
          <w:tcPr>
            <w:tcW w:w="21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160" w:leader="none"/>
                <w:tab w:val="left" w:pos="415" w:leader="none"/>
              </w:tabs>
              <w:spacing w:before="0"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УК-6</w:t>
            </w:r>
          </w:p>
          <w:p>
            <w:pPr>
              <w:pStyle w:val="Normal"/>
              <w:tabs>
                <w:tab w:val="left" w:pos="160" w:leader="none"/>
                <w:tab w:val="left" w:pos="415" w:leader="none"/>
              </w:tabs>
              <w:spacing w:before="0"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ОПК-8</w:t>
            </w:r>
          </w:p>
        </w:tc>
      </w:tr>
      <w:tr>
        <w:trPr/>
        <w:tc>
          <w:tcPr>
            <w:tcW w:w="1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ОР.3</w:t>
            </w:r>
          </w:p>
        </w:tc>
        <w:tc>
          <w:tcPr>
            <w:tcW w:w="5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владение письменной речью, поиском информации, структурированием информации и умением представлять результаты</w:t>
            </w:r>
          </w:p>
        </w:tc>
        <w:tc>
          <w:tcPr>
            <w:tcW w:w="21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160" w:leader="none"/>
                <w:tab w:val="left" w:pos="415" w:leader="none"/>
              </w:tabs>
              <w:spacing w:before="0"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УК-6</w:t>
            </w:r>
          </w:p>
          <w:p>
            <w:pPr>
              <w:pStyle w:val="Normal"/>
              <w:tabs>
                <w:tab w:val="left" w:pos="160" w:leader="none"/>
                <w:tab w:val="left" w:pos="415" w:leader="none"/>
              </w:tabs>
              <w:spacing w:before="0"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ОПК-8</w:t>
            </w:r>
          </w:p>
        </w:tc>
      </w:tr>
    </w:tbl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рамках проведения комплексного экзамена проверятся степень сформированности у аттестуемого  следующих компетенций</w:t>
      </w:r>
      <w:r>
        <w:rPr>
          <w:rStyle w:val="Style14"/>
          <w:rFonts w:ascii="Times New Roman" w:hAnsi="Times New Roman"/>
          <w:sz w:val="24"/>
          <w:szCs w:val="24"/>
          <w:vertAlign w:val="superscript"/>
        </w:rPr>
        <w:footnoteReference w:id="2"/>
      </w:r>
      <w:r>
        <w:rPr>
          <w:rFonts w:ascii="Times New Roman" w:hAnsi="Times New Roman"/>
          <w:sz w:val="24"/>
          <w:szCs w:val="24"/>
        </w:rPr>
        <w:t>:</w:t>
      </w:r>
    </w:p>
    <w:tbl>
      <w:tblPr>
        <w:tblW w:w="9640" w:type="dxa"/>
        <w:jc w:val="left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1697"/>
        <w:gridCol w:w="1701"/>
        <w:gridCol w:w="2129"/>
        <w:gridCol w:w="2126"/>
        <w:gridCol w:w="1987"/>
      </w:tblGrid>
      <w:tr>
        <w:trPr/>
        <w:tc>
          <w:tcPr>
            <w:tcW w:w="169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Шифр компетенции</w:t>
            </w:r>
          </w:p>
        </w:tc>
        <w:tc>
          <w:tcPr>
            <w:tcW w:w="170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Расшифровка компетенции</w:t>
            </w:r>
          </w:p>
        </w:tc>
        <w:tc>
          <w:tcPr>
            <w:tcW w:w="624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Степень сформированности компетенций</w:t>
            </w:r>
          </w:p>
        </w:tc>
      </w:tr>
      <w:tr>
        <w:trPr/>
        <w:tc>
          <w:tcPr>
            <w:tcW w:w="169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</w:r>
          </w:p>
        </w:tc>
        <w:tc>
          <w:tcPr>
            <w:tcW w:w="1701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</w:r>
          </w:p>
        </w:tc>
        <w:tc>
          <w:tcPr>
            <w:tcW w:w="2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Повышенный</w:t>
            </w:r>
          </w:p>
        </w:tc>
        <w:tc>
          <w:tcPr>
            <w:tcW w:w="41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Пороговый</w:t>
            </w:r>
          </w:p>
        </w:tc>
      </w:tr>
      <w:tr>
        <w:trPr/>
        <w:tc>
          <w:tcPr>
            <w:tcW w:w="169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</w:r>
          </w:p>
        </w:tc>
        <w:tc>
          <w:tcPr>
            <w:tcW w:w="1701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</w:r>
          </w:p>
        </w:tc>
        <w:tc>
          <w:tcPr>
            <w:tcW w:w="2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Оптимальный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Допустимый</w:t>
            </w:r>
          </w:p>
        </w:tc>
        <w:tc>
          <w:tcPr>
            <w:tcW w:w="1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Критический</w:t>
            </w:r>
          </w:p>
        </w:tc>
      </w:tr>
      <w:tr>
        <w:trPr/>
        <w:tc>
          <w:tcPr>
            <w:tcW w:w="964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Универсальные компетенции (ОК)</w:t>
            </w:r>
          </w:p>
        </w:tc>
      </w:tr>
      <w:tr>
        <w:trPr/>
        <w:tc>
          <w:tcPr>
            <w:tcW w:w="1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160" w:leader="none"/>
                <w:tab w:val="left" w:pos="415" w:leader="none"/>
              </w:tabs>
              <w:spacing w:before="0"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УК-6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Способен управлять своим временем, выстраивать и реализовывать траекторию саморазвития на основе принципов образования в течение всей жизни</w:t>
            </w:r>
          </w:p>
        </w:tc>
        <w:tc>
          <w:tcPr>
            <w:tcW w:w="2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Обладает в полном объеме способностью рационального распределения временных и информационных ресурсов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Показывает допустимый уровень владения рациональным распределением временных и информационных ресурсов</w:t>
            </w:r>
          </w:p>
        </w:tc>
        <w:tc>
          <w:tcPr>
            <w:tcW w:w="1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Испытывает трудности при осуществлении рационального распределения временных и информационных ресурсов </w:t>
            </w:r>
          </w:p>
        </w:tc>
      </w:tr>
      <w:tr>
        <w:trPr/>
        <w:tc>
          <w:tcPr>
            <w:tcW w:w="1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ОПК-8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Способен осуществлять педагогическую деятельность на основе специальных научных знаний</w:t>
            </w:r>
          </w:p>
        </w:tc>
        <w:tc>
          <w:tcPr>
            <w:tcW w:w="2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Обладает в полном объеме специальными научными знаниями в т.ч. в предметной области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Показывает допустимый уровень владения специальными научными знаниями в т.ч. в предметной области</w:t>
            </w:r>
          </w:p>
        </w:tc>
        <w:tc>
          <w:tcPr>
            <w:tcW w:w="1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Испытывает трудности владения специальными научными знаниями в т.ч. в предметной области</w:t>
            </w:r>
          </w:p>
        </w:tc>
      </w:tr>
    </w:tbl>
    <w:p>
      <w:pPr>
        <w:pStyle w:val="Normal"/>
        <w:tabs>
          <w:tab w:val="left" w:pos="2970" w:leader="none"/>
        </w:tabs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before="0" w:after="0"/>
        <w:jc w:val="center"/>
        <w:rPr>
          <w:rFonts w:ascii="Times New Roman" w:hAnsi="Times New Roman"/>
          <w:b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3. Перечень дисциплин, формирующих программу </w:t>
      </w:r>
    </w:p>
    <w:p>
      <w:pPr>
        <w:pStyle w:val="Normal"/>
        <w:spacing w:before="0" w:after="120"/>
        <w:jc w:val="center"/>
        <w:rPr>
          <w:rFonts w:ascii="Times New Roman" w:hAnsi="Times New Roman"/>
          <w:b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комплексного экзамена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Для решения заявленных в п. 1 целей и задач в программу </w:t>
      </w:r>
      <w:r>
        <w:rPr>
          <w:rFonts w:ascii="Times New Roman" w:hAnsi="Times New Roman"/>
          <w:bCs/>
          <w:sz w:val="24"/>
          <w:szCs w:val="24"/>
        </w:rPr>
        <w:t>комплексного</w:t>
      </w:r>
      <w:r>
        <w:rPr>
          <w:rFonts w:ascii="Times New Roman" w:hAnsi="Times New Roman"/>
          <w:sz w:val="24"/>
          <w:szCs w:val="24"/>
        </w:rPr>
        <w:t xml:space="preserve"> экзамена включены вопросы, определяющие содержание следующих дисциплин:</w:t>
      </w:r>
    </w:p>
    <w:p>
      <w:pPr>
        <w:pStyle w:val="Normal"/>
        <w:numPr>
          <w:ilvl w:val="1"/>
          <w:numId w:val="2"/>
        </w:numPr>
        <w:tabs>
          <w:tab w:val="left" w:pos="993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психолого-педагогические дисциплины (раздел 1. Педагогика и раздел 2. Психология. </w:t>
      </w:r>
    </w:p>
    <w:p>
      <w:pPr>
        <w:pStyle w:val="Normal"/>
        <w:numPr>
          <w:ilvl w:val="1"/>
          <w:numId w:val="2"/>
        </w:numPr>
        <w:tabs>
          <w:tab w:val="left" w:pos="993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дисциплины модуля предметной подготовки (Модули: Механическая картина мира, Электромагнитная картина мира)</w:t>
      </w:r>
    </w:p>
    <w:p>
      <w:pPr>
        <w:pStyle w:val="Normal"/>
        <w:spacing w:before="0" w:after="0"/>
        <w:jc w:val="center"/>
        <w:rPr>
          <w:rFonts w:ascii="Times New Roman" w:hAnsi="Times New Roman"/>
          <w:b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</w:r>
    </w:p>
    <w:p>
      <w:pPr>
        <w:pStyle w:val="Normal"/>
        <w:spacing w:before="0" w:after="120"/>
        <w:jc w:val="center"/>
        <w:rPr>
          <w:rFonts w:ascii="Times New Roman" w:hAnsi="Times New Roman"/>
          <w:b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4. Содержание комплексного экзамена</w:t>
      </w:r>
    </w:p>
    <w:p>
      <w:pPr>
        <w:pStyle w:val="Normal"/>
        <w:spacing w:before="0"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Раздел 1. Педагогика</w:t>
      </w:r>
      <w:r>
        <w:rPr>
          <w:rStyle w:val="Style14"/>
          <w:rFonts w:ascii="Times New Roman" w:hAnsi="Times New Roman"/>
          <w:sz w:val="24"/>
          <w:szCs w:val="24"/>
          <w:vertAlign w:val="superscript"/>
        </w:rPr>
        <w:footnoteReference w:id="3"/>
      </w:r>
    </w:p>
    <w:p>
      <w:pPr>
        <w:pStyle w:val="Normal"/>
        <w:spacing w:before="0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Тема 1.1. История педагогики</w:t>
      </w:r>
    </w:p>
    <w:p>
      <w:pPr>
        <w:pStyle w:val="Normal"/>
        <w:spacing w:before="0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Тема 1.2. Проектирование образовательного пространства</w:t>
      </w:r>
    </w:p>
    <w:p>
      <w:pPr>
        <w:pStyle w:val="Normal"/>
        <w:spacing w:before="0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Тема 1.3. Основы организации педагогического взаимодействия</w:t>
      </w:r>
    </w:p>
    <w:p>
      <w:pPr>
        <w:pStyle w:val="Normal"/>
        <w:spacing w:before="0"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Раздел 2. Психология</w:t>
      </w:r>
    </w:p>
    <w:p>
      <w:pPr>
        <w:pStyle w:val="Normal"/>
        <w:spacing w:before="0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Тема 2.1. Общая психология</w:t>
      </w:r>
    </w:p>
    <w:p>
      <w:pPr>
        <w:pStyle w:val="Normal"/>
        <w:spacing w:before="0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Тема 2.2. Социальная психология</w:t>
      </w:r>
    </w:p>
    <w:p>
      <w:pPr>
        <w:pStyle w:val="Normal"/>
        <w:spacing w:before="0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Тема 2.3. Психология развития</w:t>
      </w:r>
    </w:p>
    <w:p>
      <w:pPr>
        <w:pStyle w:val="Normal"/>
        <w:spacing w:before="0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Тема 2.4. Педагогическая психология</w:t>
      </w:r>
    </w:p>
    <w:p>
      <w:pPr>
        <w:pStyle w:val="Normal"/>
        <w:spacing w:before="0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before="0" w:after="0"/>
        <w:ind w:firstLine="709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Раздел 3. Предметная подготовка</w:t>
      </w:r>
    </w:p>
    <w:p>
      <w:pPr>
        <w:pStyle w:val="Normal"/>
        <w:spacing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Тема 3.1. Качественные методы в физике</w:t>
      </w:r>
    </w:p>
    <w:p>
      <w:pPr>
        <w:pStyle w:val="Normal"/>
        <w:spacing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Тема 3.2. Общая физика</w:t>
      </w:r>
    </w:p>
    <w:p>
      <w:pPr>
        <w:pStyle w:val="Normal"/>
        <w:spacing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Тема 3.3. Математический анализ</w:t>
      </w:r>
    </w:p>
    <w:p>
      <w:pPr>
        <w:pStyle w:val="Normal"/>
        <w:spacing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Тема 3.4. Высшая алгебра и аналитическая геометрия</w:t>
      </w:r>
    </w:p>
    <w:p>
      <w:pPr>
        <w:pStyle w:val="Normal"/>
        <w:spacing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Тема 3.5. Теория вероятностей и комбинаторика</w:t>
      </w:r>
    </w:p>
    <w:p>
      <w:pPr>
        <w:pStyle w:val="Normal"/>
        <w:spacing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Тема 3.6. Дифференциальные уравнения и нелинейные колебания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before="0" w:after="0"/>
        <w:ind w:firstLine="709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before="0" w:after="120"/>
        <w:jc w:val="center"/>
        <w:rPr>
          <w:rFonts w:ascii="Times New Roman" w:hAnsi="Times New Roman"/>
          <w:b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5. Форма и сроки проведения комплексного экзамена</w:t>
      </w:r>
    </w:p>
    <w:p>
      <w:pPr>
        <w:pStyle w:val="Normal"/>
        <w:spacing w:before="0" w:after="0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Комплексный экзамен включает три компонента, которые проводятся в следующих формах:</w:t>
      </w:r>
    </w:p>
    <w:p>
      <w:pPr>
        <w:pStyle w:val="Normal"/>
        <w:numPr>
          <w:ilvl w:val="0"/>
          <w:numId w:val="1"/>
        </w:numPr>
        <w:tabs>
          <w:tab w:val="left" w:pos="993" w:leader="none"/>
        </w:tabs>
        <w:spacing w:before="0" w:after="0"/>
        <w:ind w:left="0" w:firstLine="709"/>
        <w:contextualSpacing/>
        <w:jc w:val="both"/>
        <w:rPr>
          <w:rFonts w:ascii="Times New Roman" w:hAnsi="Times New Roman" w:eastAsia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презентация портфолио студента – в устной форме с представлением подтверждающих документов на электронном носителе (в электронном сервисе «Портфолио»); </w:t>
      </w:r>
    </w:p>
    <w:p>
      <w:pPr>
        <w:pStyle w:val="Normal"/>
        <w:numPr>
          <w:ilvl w:val="0"/>
          <w:numId w:val="1"/>
        </w:numPr>
        <w:tabs>
          <w:tab w:val="left" w:pos="993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тестирование по педагогике и психологии – письменно с использованием электронной образовательной среды </w:t>
      </w:r>
      <w:r>
        <w:rPr>
          <w:rFonts w:eastAsia="Times New Roman" w:ascii="Times New Roman" w:hAnsi="Times New Roman"/>
          <w:sz w:val="24"/>
          <w:szCs w:val="24"/>
        </w:rPr>
        <w:t>образовательной организации ВО</w:t>
      </w:r>
      <w:r>
        <w:rPr>
          <w:rFonts w:ascii="Times New Roman" w:hAnsi="Times New Roman"/>
          <w:sz w:val="24"/>
          <w:szCs w:val="24"/>
        </w:rPr>
        <w:t xml:space="preserve">; </w:t>
      </w:r>
    </w:p>
    <w:p>
      <w:pPr>
        <w:pStyle w:val="Normal"/>
        <w:numPr>
          <w:ilvl w:val="0"/>
          <w:numId w:val="1"/>
        </w:numPr>
        <w:tabs>
          <w:tab w:val="left" w:pos="993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защита курсового проекта по предметной деятельности – в устной форме. </w:t>
      </w:r>
    </w:p>
    <w:p>
      <w:pPr>
        <w:pStyle w:val="Normal"/>
        <w:spacing w:before="0" w:after="0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Срок проведения комплексного экзамена определяется учебным планом, организуется в соответствии с графиком учебного процесса и расписанием, устанавливаемом вузом. Трудоемкость комплексного экзамена составляет 1 зачетную единицу (36 академических часов).</w:t>
      </w:r>
    </w:p>
    <w:p>
      <w:pPr>
        <w:pStyle w:val="Normal"/>
        <w:spacing w:before="0" w:after="0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before="0" w:after="120"/>
        <w:jc w:val="center"/>
        <w:rPr>
          <w:rFonts w:ascii="Times New Roman" w:hAnsi="Times New Roman"/>
          <w:b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6. Общие рекомендации по подготовке к комплексному экзамену</w:t>
      </w:r>
    </w:p>
    <w:p>
      <w:pPr>
        <w:pStyle w:val="Normal"/>
        <w:spacing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6.1. Рекомендации по оформлению портфолио</w:t>
      </w:r>
      <w:r>
        <w:rPr>
          <w:rFonts w:ascii="Times New Roman" w:hAnsi="Times New Roman"/>
          <w:sz w:val="24"/>
          <w:szCs w:val="24"/>
        </w:rPr>
        <w:t>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>В портфолио накапливаются документально зафиксированные результаты, подтверждающие индивидуальные достижения в разнообразных видах деятельности. Оценка портфолио проводится на основании критериев и показателей, разработанных в соответствии</w:t>
      </w:r>
      <w:r>
        <w:rPr>
          <w:rFonts w:ascii="Times New Roman" w:hAnsi="Times New Roman"/>
          <w:sz w:val="24"/>
          <w:szCs w:val="24"/>
        </w:rPr>
        <w:t xml:space="preserve"> с </w:t>
      </w:r>
      <w:r>
        <w:rPr>
          <w:rFonts w:eastAsia="TimesNewRoman" w:ascii="Times New Roman" w:hAnsi="Times New Roman"/>
          <w:iCs/>
          <w:sz w:val="24"/>
          <w:szCs w:val="24"/>
        </w:rPr>
        <w:t>Профессиональным стандартом, ФГОС ВО и требованиями работодателей.</w:t>
      </w:r>
    </w:p>
    <w:p>
      <w:pPr>
        <w:pStyle w:val="Normal"/>
        <w:shd w:val="clear" w:color="auto" w:fill="FFFFFF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>При формировании портфолио перед аттестуемым ставятся задачи проанализировать и обобщить индивидуальные достижения, связать воедино все аспекты и полно их представить. В портфолио не допускается включение недостоверной информации.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 подготовке портфолио обучающиеся Мининского университета используют электронный сервис и организуют подтверждение своих достижений согласно следующей структуры:</w:t>
      </w:r>
    </w:p>
    <w:p>
      <w:pPr>
        <w:pStyle w:val="ListParagraph"/>
        <w:numPr>
          <w:ilvl w:val="0"/>
          <w:numId w:val="6"/>
        </w:numPr>
        <w:tabs>
          <w:tab w:val="left" w:pos="993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Автобиография</w:t>
      </w:r>
    </w:p>
    <w:p>
      <w:pPr>
        <w:pStyle w:val="ListParagraph"/>
        <w:numPr>
          <w:ilvl w:val="0"/>
          <w:numId w:val="6"/>
        </w:numPr>
        <w:tabs>
          <w:tab w:val="left" w:pos="993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Образование и обучение</w:t>
      </w:r>
    </w:p>
    <w:p>
      <w:pPr>
        <w:pStyle w:val="ListParagraph"/>
        <w:numPr>
          <w:ilvl w:val="0"/>
          <w:numId w:val="6"/>
        </w:numPr>
        <w:tabs>
          <w:tab w:val="left" w:pos="993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Научная деятельность</w:t>
      </w:r>
    </w:p>
    <w:p>
      <w:pPr>
        <w:pStyle w:val="ListParagraph"/>
        <w:numPr>
          <w:ilvl w:val="0"/>
          <w:numId w:val="6"/>
        </w:numPr>
        <w:tabs>
          <w:tab w:val="left" w:pos="993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Опыт работы</w:t>
      </w:r>
    </w:p>
    <w:p>
      <w:pPr>
        <w:pStyle w:val="ListParagraph"/>
        <w:numPr>
          <w:ilvl w:val="0"/>
          <w:numId w:val="6"/>
        </w:numPr>
        <w:tabs>
          <w:tab w:val="left" w:pos="993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Профессиональная деятельность</w:t>
      </w:r>
    </w:p>
    <w:p>
      <w:pPr>
        <w:pStyle w:val="ListParagraph"/>
        <w:numPr>
          <w:ilvl w:val="0"/>
          <w:numId w:val="6"/>
        </w:numPr>
        <w:tabs>
          <w:tab w:val="left" w:pos="993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Общественная деятельность</w:t>
      </w:r>
    </w:p>
    <w:p>
      <w:pPr>
        <w:pStyle w:val="ListParagraph"/>
        <w:numPr>
          <w:ilvl w:val="0"/>
          <w:numId w:val="6"/>
        </w:numPr>
        <w:tabs>
          <w:tab w:val="left" w:pos="993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Спортивная деятельность</w:t>
      </w:r>
    </w:p>
    <w:p>
      <w:pPr>
        <w:pStyle w:val="ListParagraph"/>
        <w:numPr>
          <w:ilvl w:val="0"/>
          <w:numId w:val="6"/>
        </w:numPr>
        <w:tabs>
          <w:tab w:val="left" w:pos="993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Культурно-творческая деятельность. </w:t>
      </w:r>
    </w:p>
    <w:p>
      <w:pPr>
        <w:pStyle w:val="Normal"/>
        <w:spacing w:before="0" w:after="0"/>
        <w:jc w:val="both"/>
        <w:rPr>
          <w:rFonts w:ascii="Times New Roman" w:hAnsi="Times New Roman"/>
          <w:b/>
          <w:b/>
          <w:i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</w:r>
    </w:p>
    <w:p>
      <w:pPr>
        <w:pStyle w:val="Normal"/>
        <w:spacing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6.2. Рекомендации по подготовке к тестированию</w:t>
      </w:r>
      <w:r>
        <w:rPr>
          <w:rFonts w:ascii="Times New Roman" w:hAnsi="Times New Roman"/>
          <w:sz w:val="24"/>
          <w:szCs w:val="24"/>
        </w:rPr>
        <w:t>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 xml:space="preserve">Тестирование носит междисциплинарный характер и направлено на определение уровня сформированности знаниевой и деятельностной составляющей компетенции в области педагогики и психологии, необходимых для осуществления трудовых действий в соответствии с Профессиональным стандартом. Аттестуемый </w:t>
      </w:r>
      <w:r>
        <w:rPr>
          <w:rFonts w:ascii="Times New Roman" w:hAnsi="Times New Roman"/>
          <w:sz w:val="24"/>
          <w:szCs w:val="24"/>
        </w:rPr>
        <w:t>самостоятельно систематизирует полученные ранее знания, умения, навыки по психолого-педагогическим дисциплинам, включенным в содержание КЭ.</w:t>
      </w:r>
      <w:r>
        <w:rPr>
          <w:rFonts w:eastAsia="TimesNewRoman" w:ascii="Times New Roman" w:hAnsi="Times New Roman"/>
          <w:iCs/>
          <w:sz w:val="24"/>
          <w:szCs w:val="24"/>
        </w:rPr>
        <w:t xml:space="preserve"> Тестирование может проводиться с использованием кейс-заданий (кейсов), контекстных задач и др.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 xml:space="preserve">Кейс-задание представляет собой описание ситуации, моделирующей профессиональную задачу (проблему), направленную на проверку планирования последовательности профессиональных действий и полноту их реализации. К ситуации, описанной в кейсе, формулируются подзадачи (задачи, вопросы), требующей соответствующей реакции аттестуемого или ее решения. В зависимости от содержания и трудности вопросов определяется минимальное время решения кейса.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>Кейс-задание имеет следующую структуру:</w:t>
      </w:r>
    </w:p>
    <w:p>
      <w:pPr>
        <w:pStyle w:val="Normal"/>
        <w:numPr>
          <w:ilvl w:val="1"/>
          <w:numId w:val="5"/>
        </w:numPr>
        <w:spacing w:before="0" w:after="0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>Название кейса.</w:t>
      </w:r>
    </w:p>
    <w:p>
      <w:pPr>
        <w:pStyle w:val="Normal"/>
        <w:numPr>
          <w:ilvl w:val="1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>Формулировка компетенций и трудовых действий из Профессионального стандарта.</w:t>
      </w:r>
    </w:p>
    <w:p>
      <w:pPr>
        <w:pStyle w:val="Normal"/>
        <w:numPr>
          <w:ilvl w:val="1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 xml:space="preserve"> </w:t>
      </w:r>
      <w:r>
        <w:rPr>
          <w:rFonts w:eastAsia="TimesNewRoman" w:ascii="Times New Roman" w:hAnsi="Times New Roman"/>
          <w:iCs/>
          <w:sz w:val="24"/>
          <w:szCs w:val="24"/>
        </w:rPr>
        <w:t>Формулировка образовательных результатов, подлежащих оцениванию.</w:t>
      </w:r>
    </w:p>
    <w:p>
      <w:pPr>
        <w:pStyle w:val="Normal"/>
        <w:numPr>
          <w:ilvl w:val="1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>Инструкция для аттестуемых «Как работать с кейсом?»</w:t>
      </w:r>
    </w:p>
    <w:p>
      <w:pPr>
        <w:pStyle w:val="Normal"/>
        <w:numPr>
          <w:ilvl w:val="1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>Формулировка проблемы или задачи.</w:t>
      </w:r>
    </w:p>
    <w:p>
      <w:pPr>
        <w:pStyle w:val="Normal"/>
        <w:numPr>
          <w:ilvl w:val="1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>Подробное описание практической (их) ситуации (ий).</w:t>
      </w:r>
    </w:p>
    <w:p>
      <w:pPr>
        <w:pStyle w:val="Normal"/>
        <w:numPr>
          <w:ilvl w:val="1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>Сопутствующие описанной ситуации факты, положения. Учебно-методическое обеспечение (сопровождение): наглядный, раздаточный или другой иллюстративный материал.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>Контекстная задача – задача, условие которой сформулировано как сюжет, ситуация или проблема, и для ее разрешения необходимо использовать знания и умения из разных разделов психологии и педагогики, на которые нет явного указания в тексте задачи. Деятельность аттестуемого в ситуации, описанной в задании, должна обеспечивать возможность комплексной оценки уровня достижений образовательных результатов, сформулированных на основе компетенций ФГОС ВО и трудовых действий Профессионального стандарта педагога.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>Контекстная задача имеет следующую структуру:</w:t>
      </w:r>
    </w:p>
    <w:p>
      <w:pPr>
        <w:pStyle w:val="Normal"/>
        <w:numPr>
          <w:ilvl w:val="2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>Условие задачи, включающее описание реальной или близкой к ней практико-ориентированной ситуации.</w:t>
      </w:r>
    </w:p>
    <w:p>
      <w:pPr>
        <w:pStyle w:val="Normal"/>
        <w:numPr>
          <w:ilvl w:val="2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>Требование задачи, направленной на представление результата анализа, осмысление ситуации и поиск способов действий в описанной ситуации в контексте будущей профессиональной деятельности.</w:t>
      </w:r>
    </w:p>
    <w:p>
      <w:pPr>
        <w:pStyle w:val="Normal"/>
        <w:numPr>
          <w:ilvl w:val="2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>Базис задачи, включающий теоретические факты, законы, закономерности, принципы, служащие основанием решения задачи.</w:t>
      </w:r>
    </w:p>
    <w:p>
      <w:pPr>
        <w:pStyle w:val="Normal"/>
        <w:numPr>
          <w:ilvl w:val="2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 xml:space="preserve">Решение задачи, представляющее собой реализацию аттестуемым перехода от условия задачи к требованию и обоснованию предлагаемых способов решения. </w:t>
      </w:r>
    </w:p>
    <w:p>
      <w:pPr>
        <w:pStyle w:val="Normal"/>
        <w:numPr>
          <w:ilvl w:val="2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>Интерпретация результатов решения задачи.</w:t>
      </w:r>
    </w:p>
    <w:p>
      <w:pPr>
        <w:pStyle w:val="Normal"/>
        <w:tabs>
          <w:tab w:val="left" w:pos="993" w:leader="none"/>
        </w:tabs>
        <w:spacing w:before="0" w:after="0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</w:r>
    </w:p>
    <w:p>
      <w:pPr>
        <w:pStyle w:val="Normal"/>
        <w:tabs>
          <w:tab w:val="left" w:pos="993" w:leader="none"/>
        </w:tabs>
        <w:spacing w:before="0" w:after="0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</w:r>
    </w:p>
    <w:p>
      <w:pPr>
        <w:pStyle w:val="Normal"/>
        <w:tabs>
          <w:tab w:val="left" w:pos="993" w:leader="none"/>
        </w:tabs>
        <w:spacing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 xml:space="preserve"> </w:t>
      </w:r>
      <w:r>
        <w:rPr>
          <w:rFonts w:ascii="Times New Roman" w:hAnsi="Times New Roman"/>
          <w:b/>
          <w:i/>
          <w:sz w:val="24"/>
          <w:szCs w:val="24"/>
        </w:rPr>
        <w:t>6.3. Рекомендации по подготовке к защите курсового проекта</w:t>
      </w:r>
      <w:r>
        <w:rPr>
          <w:rFonts w:ascii="Times New Roman" w:hAnsi="Times New Roman"/>
          <w:sz w:val="24"/>
          <w:szCs w:val="24"/>
        </w:rPr>
        <w:t>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Курсовой проект – продукт самостоятельной работы аттестуемого по заданной теме (проблеме), направленный на решение значимой для участников КЭГ, в том числе аттестуемого и работодателей, проблемы (учебно-практической или учебно-исследовательской).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Курсовой проект оформляется в соответствии с Положением о курсовых работах, действующем на момент проведения КЭГ. Представление полученных в ходе выполнения курсового проекта результатов осуществляется в форме защиты посредством выступления с докладом и презентацией.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 оценке курсового проекта учитывается актуальность заявленной проблемы, реалистичность в описании цели и задач проекта, эффективность механизмов реализации, результативность и качество проекта.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Курсовой проект имеет следующие структурные элементы:</w:t>
      </w:r>
    </w:p>
    <w:p>
      <w:pPr>
        <w:pStyle w:val="Normal"/>
        <w:numPr>
          <w:ilvl w:val="3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Титульный лист.</w:t>
      </w:r>
    </w:p>
    <w:p>
      <w:pPr>
        <w:pStyle w:val="Normal"/>
        <w:numPr>
          <w:ilvl w:val="3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План работы над курсовым проектом.</w:t>
      </w:r>
    </w:p>
    <w:p>
      <w:pPr>
        <w:pStyle w:val="Normal"/>
        <w:numPr>
          <w:ilvl w:val="3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Введение, в котором приводится обоснование актуальности курсового проекта, формулируются цели и задачи.</w:t>
      </w:r>
    </w:p>
    <w:p>
      <w:pPr>
        <w:pStyle w:val="Normal"/>
        <w:numPr>
          <w:ilvl w:val="3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Текстовое изложение материала представляется в соответствии с блоками решаемых задач. В текстовом материале каждого блока необходимо указать ссылки на используемые источники, в том числе на организации, в которых собиралась необходимая информация. В выводах по каждому блоку желательно высказать авторскую позицию и привести комментарий по исследуемой проблеме.</w:t>
      </w:r>
    </w:p>
    <w:p>
      <w:pPr>
        <w:pStyle w:val="Normal"/>
        <w:numPr>
          <w:ilvl w:val="3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Заключение.</w:t>
      </w:r>
    </w:p>
    <w:p>
      <w:pPr>
        <w:pStyle w:val="Normal"/>
        <w:numPr>
          <w:ilvl w:val="3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Список используемой литературы.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 подготовке к представлению курсового проекта необходимо продумать иллюстративный материал, способствующий более полному пониманию содержания проделанной работы и ее результатов.</w:t>
      </w:r>
    </w:p>
    <w:p>
      <w:pPr>
        <w:pStyle w:val="Normal"/>
        <w:shd w:val="clear" w:color="auto" w:fill="FFFFFF"/>
        <w:spacing w:before="0" w:after="0"/>
        <w:jc w:val="both"/>
        <w:rPr>
          <w:rFonts w:ascii="Times New Roman" w:hAnsi="Times New Roman"/>
          <w:i/>
          <w:i/>
          <w:iCs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</w:rPr>
      </w:r>
    </w:p>
    <w:p>
      <w:pPr>
        <w:pStyle w:val="Normal"/>
        <w:shd w:val="clear" w:color="auto" w:fill="FFFFFF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</w:rPr>
        <w:t>Примерные этапы работы над курсовым проектом:</w:t>
      </w:r>
    </w:p>
    <w:p>
      <w:pPr>
        <w:pStyle w:val="Normal"/>
        <w:numPr>
          <w:ilvl w:val="0"/>
          <w:numId w:val="3"/>
        </w:numPr>
        <w:shd w:val="clear" w:color="auto" w:fill="FFFFFF"/>
        <w:tabs>
          <w:tab w:val="left" w:pos="993" w:leader="none"/>
        </w:tabs>
        <w:spacing w:lineRule="auto" w:line="240"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Выбор проблемы, ее обоснование, формулирование темы.</w:t>
      </w:r>
    </w:p>
    <w:p>
      <w:pPr>
        <w:pStyle w:val="Normal"/>
        <w:numPr>
          <w:ilvl w:val="0"/>
          <w:numId w:val="3"/>
        </w:numPr>
        <w:shd w:val="clear" w:color="auto" w:fill="FFFFFF"/>
        <w:tabs>
          <w:tab w:val="left" w:pos="993" w:leader="none"/>
        </w:tabs>
        <w:spacing w:lineRule="auto" w:line="240"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Отбор основных источников по теме.</w:t>
      </w:r>
    </w:p>
    <w:p>
      <w:pPr>
        <w:pStyle w:val="Normal"/>
        <w:numPr>
          <w:ilvl w:val="0"/>
          <w:numId w:val="3"/>
        </w:numPr>
        <w:shd w:val="clear" w:color="auto" w:fill="FFFFFF"/>
        <w:tabs>
          <w:tab w:val="left" w:pos="993" w:leader="none"/>
        </w:tabs>
        <w:spacing w:lineRule="auto" w:line="240"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Составление библиографии.</w:t>
      </w:r>
    </w:p>
    <w:p>
      <w:pPr>
        <w:pStyle w:val="Normal"/>
        <w:numPr>
          <w:ilvl w:val="0"/>
          <w:numId w:val="3"/>
        </w:numPr>
        <w:shd w:val="clear" w:color="auto" w:fill="FFFFFF"/>
        <w:tabs>
          <w:tab w:val="left" w:pos="993" w:leader="none"/>
        </w:tabs>
        <w:spacing w:lineRule="auto" w:line="240"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Конспектирование или тезирование необходимого материала.</w:t>
      </w:r>
    </w:p>
    <w:p>
      <w:pPr>
        <w:pStyle w:val="Normal"/>
        <w:numPr>
          <w:ilvl w:val="0"/>
          <w:numId w:val="3"/>
        </w:numPr>
        <w:shd w:val="clear" w:color="auto" w:fill="FFFFFF"/>
        <w:tabs>
          <w:tab w:val="left" w:pos="993" w:leader="none"/>
        </w:tabs>
        <w:spacing w:lineRule="auto" w:line="240"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Систематизация зафиксированной и отобранной информации.</w:t>
      </w:r>
    </w:p>
    <w:p>
      <w:pPr>
        <w:pStyle w:val="Normal"/>
        <w:numPr>
          <w:ilvl w:val="0"/>
          <w:numId w:val="3"/>
        </w:numPr>
        <w:shd w:val="clear" w:color="auto" w:fill="FFFFFF"/>
        <w:tabs>
          <w:tab w:val="left" w:pos="993" w:leader="none"/>
        </w:tabs>
        <w:spacing w:lineRule="auto" w:line="240"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Определение основных понятий.</w:t>
      </w:r>
    </w:p>
    <w:p>
      <w:pPr>
        <w:pStyle w:val="Normal"/>
        <w:numPr>
          <w:ilvl w:val="0"/>
          <w:numId w:val="3"/>
        </w:numPr>
        <w:shd w:val="clear" w:color="auto" w:fill="FFFFFF"/>
        <w:tabs>
          <w:tab w:val="left" w:pos="993" w:leader="none"/>
        </w:tabs>
        <w:spacing w:lineRule="auto" w:line="240"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Разработка логики исследования, составление плана.</w:t>
      </w:r>
    </w:p>
    <w:p>
      <w:pPr>
        <w:pStyle w:val="Normal"/>
        <w:numPr>
          <w:ilvl w:val="0"/>
          <w:numId w:val="3"/>
        </w:numPr>
        <w:shd w:val="clear" w:color="auto" w:fill="FFFFFF"/>
        <w:tabs>
          <w:tab w:val="left" w:pos="993" w:leader="none"/>
        </w:tabs>
        <w:spacing w:lineRule="auto" w:line="240"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Реализация плана, написание работы.</w:t>
      </w:r>
    </w:p>
    <w:p>
      <w:pPr>
        <w:pStyle w:val="Normal"/>
        <w:numPr>
          <w:ilvl w:val="0"/>
          <w:numId w:val="3"/>
        </w:numPr>
        <w:shd w:val="clear" w:color="auto" w:fill="FFFFFF"/>
        <w:tabs>
          <w:tab w:val="left" w:pos="993" w:leader="none"/>
        </w:tabs>
        <w:spacing w:lineRule="auto" w:line="240"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Самоанализ, предполагающий новизну текста, степень раскрытия сущности проблемы, обоснованности выбора источников.</w:t>
      </w:r>
    </w:p>
    <w:p>
      <w:pPr>
        <w:pStyle w:val="Normal"/>
        <w:numPr>
          <w:ilvl w:val="0"/>
          <w:numId w:val="3"/>
        </w:numPr>
        <w:shd w:val="clear" w:color="auto" w:fill="FFFFFF"/>
        <w:tabs>
          <w:tab w:val="left" w:pos="1134" w:leader="none"/>
        </w:tabs>
        <w:spacing w:lineRule="auto" w:line="240"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Проверка правильности оформления списка литературы.</w:t>
      </w:r>
    </w:p>
    <w:p>
      <w:pPr>
        <w:pStyle w:val="Normal"/>
        <w:numPr>
          <w:ilvl w:val="0"/>
          <w:numId w:val="3"/>
        </w:numPr>
        <w:shd w:val="clear" w:color="auto" w:fill="FFFFFF"/>
        <w:tabs>
          <w:tab w:val="left" w:pos="1134" w:leader="none"/>
        </w:tabs>
        <w:spacing w:lineRule="auto" w:line="240"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Редакторская правка.</w:t>
      </w:r>
    </w:p>
    <w:p>
      <w:pPr>
        <w:pStyle w:val="Normal"/>
        <w:numPr>
          <w:ilvl w:val="0"/>
          <w:numId w:val="3"/>
        </w:numPr>
        <w:shd w:val="clear" w:color="auto" w:fill="FFFFFF"/>
        <w:tabs>
          <w:tab w:val="left" w:pos="1134" w:leader="none"/>
        </w:tabs>
        <w:spacing w:lineRule="auto" w:line="240"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Оформление и проверка текста с точки зрения грамотности и стилистики.</w:t>
      </w:r>
    </w:p>
    <w:p>
      <w:pPr>
        <w:pStyle w:val="Normal"/>
        <w:shd w:val="clear" w:color="auto" w:fill="FFFFFF"/>
        <w:spacing w:before="0" w:after="0"/>
        <w:jc w:val="both"/>
        <w:rPr>
          <w:rFonts w:ascii="Times New Roman" w:hAnsi="Times New Roman"/>
          <w:bCs/>
          <w:i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</w:r>
    </w:p>
    <w:p>
      <w:pPr>
        <w:pStyle w:val="Normal"/>
        <w:shd w:val="clear" w:color="auto" w:fill="FFFFFF"/>
        <w:spacing w:before="0" w:after="0"/>
        <w:jc w:val="both"/>
        <w:rPr>
          <w:rFonts w:ascii="Times New Roman" w:hAnsi="Times New Roman"/>
          <w:i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Правила оформления курсового проекта:</w:t>
      </w:r>
    </w:p>
    <w:p>
      <w:pPr>
        <w:pStyle w:val="Normal"/>
        <w:shd w:val="clear" w:color="auto" w:fill="FFFFFF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Объем работы — не более 40 страниц.  </w:t>
      </w:r>
    </w:p>
    <w:p>
      <w:pPr>
        <w:pStyle w:val="Normal"/>
        <w:tabs>
          <w:tab w:val="right" w:pos="1276" w:leader="none"/>
        </w:tabs>
        <w:spacing w:before="0" w:after="0"/>
        <w:ind w:firstLine="68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Работа выполняется на белых листах формата А 4 , текст размещается с одной стороны листа.</w:t>
      </w:r>
    </w:p>
    <w:p>
      <w:pPr>
        <w:pStyle w:val="Normal"/>
        <w:tabs>
          <w:tab w:val="right" w:pos="1276" w:leader="none"/>
        </w:tabs>
        <w:spacing w:before="0" w:after="0"/>
        <w:ind w:firstLine="68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 компьютерной верстке текста задаётся полуторный межстрочный интервал, шрифт-Times New Roman , размер шрифта 14.</w:t>
      </w:r>
    </w:p>
    <w:p>
      <w:pPr>
        <w:pStyle w:val="Normal"/>
        <w:shd w:val="clear" w:color="auto" w:fill="FFFFFF"/>
        <w:tabs>
          <w:tab w:val="right" w:pos="1276" w:leader="none"/>
        </w:tabs>
        <w:spacing w:before="0" w:after="0"/>
        <w:ind w:firstLine="68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ГОСТ определяет следующие требования к отпечатанному документу: на каждом листе не более 30 строк, в строке — до 60 знаков (считая пробелы между словами и знаки препинания). Поля: слева— 3 см; справа — 1,5см; сверху — 2,5см; снизу — 2,5 см. Отступ первой строки-1,27.</w:t>
      </w:r>
    </w:p>
    <w:p>
      <w:pPr>
        <w:pStyle w:val="Normal"/>
        <w:shd w:val="clear" w:color="auto" w:fill="FFFFFF"/>
        <w:tabs>
          <w:tab w:val="right" w:pos="1276" w:leader="none"/>
        </w:tabs>
        <w:spacing w:before="0" w:after="0"/>
        <w:ind w:firstLine="68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Текст печатается с абзацами. Заголовки и подзаголовки отделяются от основного текста сверху и снизу пробелом в один интервал.</w:t>
      </w:r>
    </w:p>
    <w:p>
      <w:pPr>
        <w:pStyle w:val="Normal"/>
        <w:tabs>
          <w:tab w:val="right" w:pos="1276" w:leader="none"/>
        </w:tabs>
        <w:spacing w:before="0" w:after="0"/>
        <w:ind w:firstLine="68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Страницы работы должны быть пронумерованы арабскими цифрами, со сквозной нумерацией по всему тексту. Нумерация начинается с титульного листа, но номер страницы на титульном листе не проставляется. Номера страниц проставляются внизу страницы в центре без точки шрифтом №10 </w:t>
      </w:r>
    </w:p>
    <w:p>
      <w:pPr>
        <w:pStyle w:val="Normal"/>
        <w:tabs>
          <w:tab w:val="right" w:pos="1276" w:leader="none"/>
        </w:tabs>
        <w:spacing w:before="0" w:after="0"/>
        <w:ind w:firstLine="68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Главы, параграфы, пункты и подпункты (кроме введения, заключения, списка использованной литературы и приложений) нумеруются арабскими цифрами, например: глава 2, параграф 2.2, пункт 2.2.1, подпункт 1.2.2.1.</w:t>
      </w:r>
    </w:p>
    <w:p>
      <w:pPr>
        <w:pStyle w:val="Normal"/>
        <w:tabs>
          <w:tab w:val="right" w:pos="1276" w:leader="none"/>
        </w:tabs>
        <w:spacing w:before="0" w:after="0"/>
        <w:ind w:firstLine="68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Главы (разделы) и подразделы должны иметь заголовки. Заголовки должны кратко и чётко отражать содержание соответствующей структурной части работы.</w:t>
      </w:r>
    </w:p>
    <w:p>
      <w:pPr>
        <w:pStyle w:val="Normal"/>
        <w:tabs>
          <w:tab w:val="right" w:pos="1276" w:leader="none"/>
        </w:tabs>
        <w:spacing w:before="0" w:after="0"/>
        <w:ind w:firstLine="68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Заголовки главы, а также названия: «Содержание», «Аннотация», «Введение», «Заключение», «Приложения», «Список использованной литературы» должны располагаться в середине строки, без точки в конце. Их следует печатать прописными буквами, не подчёркивая. Переносы слов в заголовках не допускаются. </w:t>
      </w:r>
    </w:p>
    <w:p>
      <w:pPr>
        <w:pStyle w:val="Normal"/>
        <w:tabs>
          <w:tab w:val="right" w:pos="1276" w:leader="none"/>
        </w:tabs>
        <w:spacing w:before="0" w:after="0"/>
        <w:ind w:firstLine="68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Иллюстрации, поясняющие текст, должны располагаться непосредственно после текста, в котором они упоминаются впервые, или на следующей странице, если в указанное место их разместить невозможно.</w:t>
      </w:r>
    </w:p>
    <w:p>
      <w:pPr>
        <w:pStyle w:val="Normal"/>
        <w:tabs>
          <w:tab w:val="right" w:pos="1276" w:leader="none"/>
        </w:tabs>
        <w:spacing w:before="0" w:after="0"/>
        <w:ind w:firstLine="68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Иллюстрации должны иметь названия, которые следует помещать под иллюстрациями. Все иллюстрации (фотографии, схемы, диаграммы и т.п.), помещённые в текстовой части работы, именуются рисунками, должны быть пронумерованы сквозной нумерацией по всей работе. Все рисунки сопровождаются подрисуночной подписью непосредственно после номера рисунка. В конце наименования рисунка ставится точка. Если иллюстрация одна в работе, она не нумеруется и слово «Рисунок» под ней не пишут.</w:t>
      </w:r>
    </w:p>
    <w:p>
      <w:pPr>
        <w:pStyle w:val="Normal"/>
        <w:tabs>
          <w:tab w:val="right" w:pos="1276" w:leader="none"/>
        </w:tabs>
        <w:spacing w:before="0" w:after="0"/>
        <w:ind w:firstLine="68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Цифровой материал больших объёмов рекомендуется помещать в Приложение в виде таблиц. Табличные данные небольшого объёма можно помещать непосредственно после текста, в котором они упоминаются впервые или на следующей странице. Таблицы, помещённые в текстовой части работы, должны быть пронумерованы сквозной нумерацией по всей работе, номер следует размещать в правом верхнем углу над содержательным заголовком таблицы после слова «Таблица». При ссылке на таблицу пользуются сокращением. Например: См. табл. 23 – смотрите таблицу 23.</w:t>
      </w:r>
    </w:p>
    <w:p>
      <w:pPr>
        <w:pStyle w:val="Normal"/>
        <w:tabs>
          <w:tab w:val="right" w:pos="1276" w:leader="none"/>
        </w:tabs>
        <w:spacing w:before="0" w:after="0"/>
        <w:ind w:firstLine="68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случае если на одной странице таблица не размещается, продолжают её на следующей странице. В этом случае на следующей странице над таблицей производится запись «Продолжение табл. 23».</w:t>
      </w:r>
    </w:p>
    <w:p>
      <w:pPr>
        <w:pStyle w:val="Normal"/>
        <w:tabs>
          <w:tab w:val="right" w:pos="1276" w:leader="none"/>
        </w:tabs>
        <w:spacing w:before="0" w:after="0"/>
        <w:ind w:firstLine="68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 ссылке на литературный источник после упоминания о нём в тексте работы проставляют в квадратных (косых) скобках номер, под которым он значится в списке использованной литературы. При необходимости указывается страница источника, на которую производится ссылка через запятую после номера источника</w:t>
      </w:r>
    </w:p>
    <w:p>
      <w:pPr>
        <w:pStyle w:val="Normal"/>
        <w:tabs>
          <w:tab w:val="right" w:pos="1276" w:leader="none"/>
        </w:tabs>
        <w:spacing w:before="0" w:after="0"/>
        <w:ind w:firstLine="68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Список использованной литературы составляется в алфавитном порядке фамилий авторов или названий произведений (при отсутствии фамилии автора). В списке применяется общая нумерация литературных источников. В список включаются все литературные источники, использованные автором работы независимо от того, где они опубликованы в отдельном издании, в сборнике, журнале, газете и т.д. и имеются ли в тексте ссылки на них.</w:t>
      </w:r>
    </w:p>
    <w:p>
      <w:pPr>
        <w:pStyle w:val="Normal"/>
        <w:tabs>
          <w:tab w:val="right" w:pos="1276" w:leader="none"/>
        </w:tabs>
        <w:spacing w:before="0" w:after="0"/>
        <w:ind w:firstLine="68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Приложения оформляются как продолжение работы и размещаются в конце. Каждое приложение должно начинаться с новой страницы, в правом верхнем углу которой обозначается «Приложение». Каждое приложение должно иметь содержательный заголовок. Если в работе имеются несколько приложений, то они нумеруются. </w:t>
      </w:r>
    </w:p>
    <w:p>
      <w:pPr>
        <w:pStyle w:val="Normal"/>
        <w:tabs>
          <w:tab w:val="right" w:pos="1276" w:leader="none"/>
        </w:tabs>
        <w:spacing w:before="0" w:after="0"/>
        <w:ind w:firstLine="68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before="0" w:after="120"/>
        <w:jc w:val="center"/>
        <w:rPr>
          <w:rFonts w:ascii="Times New Roman" w:hAnsi="Times New Roman"/>
          <w:b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7. Критерии оценки ответов на комплексном экзамене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Оценка ответа обучающегося на комплексном экзамене определяется в ходе заседания комиссии по приему комплексного экзамена, состоящей из специалистов в области педагогики, представителей работодателя (образовательных организаций) и регионального органа управлением образования. Ответственность за создание комиссии и организацию проведения комплексного экзамена несет вуз.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Балльно-рейтинговая оценка по комплексному экзамену должна отражать уровень достигнутых образовательных результатов, аргументированность и полноту ответов, уровень мотивационной готовности.</w:t>
      </w:r>
    </w:p>
    <w:p>
      <w:pPr>
        <w:pStyle w:val="Normal"/>
        <w:spacing w:before="0" w:after="12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Комплексный экзамен оценивается по 100-балльной шкале на каждом из его трех этапов. Максимальное количество баллов за комплексный экзамен – 300 баллов (100 за каждый этап).</w:t>
      </w:r>
    </w:p>
    <w:p>
      <w:pPr>
        <w:pStyle w:val="Normal"/>
        <w:spacing w:lineRule="auto" w:line="288"/>
        <w:ind w:firstLine="709"/>
        <w:jc w:val="center"/>
        <w:rPr>
          <w:rFonts w:ascii="Times New Roman" w:hAnsi="Times New Roman"/>
          <w:b/>
          <w:b/>
          <w:caps/>
          <w:sz w:val="24"/>
          <w:szCs w:val="24"/>
        </w:rPr>
      </w:pPr>
      <w:r>
        <w:rPr>
          <w:rFonts w:ascii="Times New Roman" w:hAnsi="Times New Roman"/>
          <w:b/>
          <w:caps/>
          <w:sz w:val="24"/>
          <w:szCs w:val="24"/>
        </w:rPr>
        <w:t>7.1. РЕЙТИНГ-пЛАН комплексного экзамена</w:t>
      </w:r>
    </w:p>
    <w:tbl>
      <w:tblPr>
        <w:tblW w:w="9605" w:type="dxa"/>
        <w:jc w:val="left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108" w:type="dxa"/>
          <w:bottom w:w="0" w:type="dxa"/>
          <w:right w:w="108" w:type="dxa"/>
        </w:tblCellMar>
        <w:tblLook w:val="01e0"/>
      </w:tblPr>
      <w:tblGrid>
        <w:gridCol w:w="2942"/>
        <w:gridCol w:w="1560"/>
        <w:gridCol w:w="1417"/>
        <w:gridCol w:w="1842"/>
        <w:gridCol w:w="1844"/>
      </w:tblGrid>
      <w:tr>
        <w:trPr>
          <w:cantSplit w:val="true"/>
        </w:trPr>
        <w:tc>
          <w:tcPr>
            <w:tcW w:w="294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Компоненты экзамена</w:t>
            </w:r>
          </w:p>
        </w:tc>
        <w:tc>
          <w:tcPr>
            <w:tcW w:w="15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192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</w:rPr>
              <w:t>Балл за одно учебное событие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192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</w:rPr>
              <w:t>Кол-во учебных событий</w:t>
            </w:r>
          </w:p>
        </w:tc>
        <w:tc>
          <w:tcPr>
            <w:tcW w:w="368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Баллы </w:t>
            </w:r>
          </w:p>
        </w:tc>
      </w:tr>
      <w:tr>
        <w:trPr>
          <w:cantSplit w:val="true"/>
        </w:trPr>
        <w:tc>
          <w:tcPr>
            <w:tcW w:w="2942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</w:rPr>
            </w:r>
          </w:p>
        </w:tc>
        <w:tc>
          <w:tcPr>
            <w:tcW w:w="1560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</w:rPr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Минимальный 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b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Максимальный </w:t>
            </w:r>
          </w:p>
        </w:tc>
      </w:tr>
      <w:tr>
        <w:trPr>
          <w:cantSplit w:val="true"/>
        </w:trPr>
        <w:tc>
          <w:tcPr>
            <w:tcW w:w="591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Портфолио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  <w:tr>
        <w:trPr/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Успеваемость за последние 2 семестра не менее 4,5 баллов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</w:rPr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</w:rPr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>
        <w:trPr/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</w:rPr>
              <w:t>Наличие достижений в спортивной деятельности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</w:rPr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</w:rPr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>
        <w:trPr/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Наличие опыта и достижений в общественной деятельности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</w:rPr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</w:rPr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>
        <w:trPr/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Достижения в научно-исследовательской работе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</w:rPr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>
        <w:trPr/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Наличие опыта профессиональной деятельности (работа вожатым, работа в рамках соисполнителя по проекту)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</w:rPr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>
        <w:trPr/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Опыт и достижения в культурно-творческой деятельности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</w:rPr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>
        <w:trPr/>
        <w:tc>
          <w:tcPr>
            <w:tcW w:w="591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Экзамен по педагогике и психологии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  <w:tr>
        <w:trPr/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Тестирование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</w:rPr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</w:rPr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29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52</w:t>
            </w:r>
          </w:p>
        </w:tc>
      </w:tr>
      <w:tr>
        <w:trPr/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Кейс-задание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</w:rPr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26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48</w:t>
            </w:r>
          </w:p>
        </w:tc>
      </w:tr>
      <w:tr>
        <w:trPr>
          <w:cantSplit w:val="true"/>
        </w:trPr>
        <w:tc>
          <w:tcPr>
            <w:tcW w:w="591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Экзамен предметной области («</w:t>
            </w:r>
            <w:r>
              <w:rPr>
                <w:rFonts w:ascii="Times New Roman" w:hAnsi="Times New Roman"/>
                <w:sz w:val="24"/>
                <w:szCs w:val="24"/>
              </w:rPr>
              <w:t>Основы физики и математики»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)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  <w:tr>
        <w:trPr/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Защита курсовой работы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>
        <w:trPr/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Итого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</w:rPr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165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300</w:t>
            </w:r>
          </w:p>
        </w:tc>
      </w:tr>
    </w:tbl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Результаты решения комиссии могут определяться оценками «отлично», «хорошо», «удовлетворительно», «неудовлетворительно».</w:t>
      </w:r>
    </w:p>
    <w:p>
      <w:pPr>
        <w:pStyle w:val="Normal"/>
        <w:spacing w:before="0" w:after="0"/>
        <w:ind w:firstLine="709"/>
        <w:rPr>
          <w:rFonts w:ascii="Times New Roman" w:hAnsi="Times New Roman" w:eastAsia="Times New Roman"/>
          <w:b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Оценивание по каждому компоненту экзамена:</w:t>
      </w:r>
    </w:p>
    <w:p>
      <w:pPr>
        <w:pStyle w:val="Normal"/>
        <w:spacing w:before="0" w:after="0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55–70 баллов– «удовлетворительно»;</w:t>
      </w:r>
    </w:p>
    <w:p>
      <w:pPr>
        <w:pStyle w:val="Normal"/>
        <w:spacing w:before="0" w:after="0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71–85 баллов– «хорошо»;</w:t>
      </w:r>
    </w:p>
    <w:p>
      <w:pPr>
        <w:pStyle w:val="Normal"/>
        <w:spacing w:before="0" w:after="0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86–100 баллов– «отлично».</w:t>
      </w:r>
    </w:p>
    <w:p>
      <w:pPr>
        <w:pStyle w:val="Normal"/>
        <w:spacing w:before="0" w:after="0"/>
        <w:ind w:firstLine="709"/>
        <w:rPr>
          <w:rFonts w:ascii="Times New Roman" w:hAnsi="Times New Roman"/>
          <w:b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Итоговая оценка:</w:t>
      </w:r>
    </w:p>
    <w:p>
      <w:pPr>
        <w:pStyle w:val="Normal"/>
        <w:spacing w:before="0" w:after="0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165-210 баллов – «удовлетворительно»;</w:t>
      </w:r>
    </w:p>
    <w:p>
      <w:pPr>
        <w:pStyle w:val="Normal"/>
        <w:spacing w:before="0" w:after="0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213-255 баллов – «хорошо»;</w:t>
      </w:r>
    </w:p>
    <w:p>
      <w:pPr>
        <w:pStyle w:val="Normal"/>
        <w:spacing w:before="0" w:after="0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258 – 300 баллов – «отлично».</w:t>
      </w:r>
    </w:p>
    <w:p>
      <w:pPr>
        <w:pStyle w:val="Normal"/>
        <w:spacing w:before="0" w:after="0"/>
        <w:ind w:firstLine="709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7.2.1 Критерии оценки тестирования по модулю «Педагогика и психология»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b/>
          <w:b/>
          <w:i/>
          <w:i/>
          <w:sz w:val="24"/>
          <w:szCs w:val="24"/>
        </w:rPr>
      </w:pPr>
      <w:r>
        <w:rPr>
          <w:rFonts w:ascii="Times New Roman" w:hAnsi="Times New Roman"/>
          <w:b/>
          <w:bCs/>
          <w:iCs/>
          <w:sz w:val="24"/>
          <w:szCs w:val="24"/>
        </w:rPr>
        <w:t>Тестирование</w:t>
      </w:r>
    </w:p>
    <w:p>
      <w:pPr>
        <w:pStyle w:val="Normal"/>
        <w:spacing w:before="0" w:after="0"/>
        <w:ind w:firstLine="709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Содержание теста основано на содержании рабочих программ по дисциплинам модуля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«</w:t>
      </w:r>
      <w:r>
        <w:rPr>
          <w:rFonts w:ascii="Times New Roman" w:hAnsi="Times New Roman"/>
          <w:b/>
          <w:sz w:val="24"/>
          <w:szCs w:val="24"/>
        </w:rPr>
        <w:t>Педагогика и психология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» и программы КЭГ.</w:t>
      </w:r>
    </w:p>
    <w:p>
      <w:pPr>
        <w:pStyle w:val="Normal"/>
        <w:tabs>
          <w:tab w:val="left" w:pos="3480" w:leader="none"/>
        </w:tabs>
        <w:spacing w:before="0" w:after="0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Длина теста – 26 заданий.</w:t>
      </w:r>
    </w:p>
    <w:p>
      <w:pPr>
        <w:pStyle w:val="Normal"/>
        <w:tabs>
          <w:tab w:val="left" w:pos="3480" w:leader="none"/>
        </w:tabs>
        <w:spacing w:before="0" w:after="0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Первая часть: тест однородный. Максимальный балл за каждое задание – 1 балл. Весовой коэффициент равен 2. Максимальный балл за тест составляет 52 балла</w:t>
      </w:r>
    </w:p>
    <w:p>
      <w:pPr>
        <w:pStyle w:val="Normal"/>
        <w:tabs>
          <w:tab w:val="left" w:pos="3480" w:leader="none"/>
        </w:tabs>
        <w:spacing w:before="0" w:after="0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(26 ×2 = 52)..</w:t>
      </w:r>
    </w:p>
    <w:tbl>
      <w:tblPr>
        <w:tblW w:w="5000" w:type="pct"/>
        <w:jc w:val="left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2599"/>
        <w:gridCol w:w="2493"/>
        <w:gridCol w:w="4263"/>
      </w:tblGrid>
      <w:tr>
        <w:trPr/>
        <w:tc>
          <w:tcPr>
            <w:tcW w:w="2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Уровни</w:t>
            </w:r>
          </w:p>
        </w:tc>
        <w:tc>
          <w:tcPr>
            <w:tcW w:w="2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Границы оценки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в баллах</w:t>
            </w:r>
          </w:p>
        </w:tc>
        <w:tc>
          <w:tcPr>
            <w:tcW w:w="4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Процент выполнения всех заданий</w:t>
            </w:r>
          </w:p>
        </w:tc>
      </w:tr>
      <w:tr>
        <w:trPr/>
        <w:tc>
          <w:tcPr>
            <w:tcW w:w="2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Оптимальный </w:t>
            </w:r>
          </w:p>
        </w:tc>
        <w:tc>
          <w:tcPr>
            <w:tcW w:w="2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44 - 52</w:t>
            </w:r>
          </w:p>
        </w:tc>
        <w:tc>
          <w:tcPr>
            <w:tcW w:w="4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менее 85%</w:t>
            </w:r>
          </w:p>
        </w:tc>
      </w:tr>
      <w:tr>
        <w:trPr/>
        <w:tc>
          <w:tcPr>
            <w:tcW w:w="2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Допустимый</w:t>
            </w:r>
          </w:p>
        </w:tc>
        <w:tc>
          <w:tcPr>
            <w:tcW w:w="2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36 - 43</w:t>
            </w:r>
          </w:p>
        </w:tc>
        <w:tc>
          <w:tcPr>
            <w:tcW w:w="4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менее 70%</w:t>
            </w:r>
          </w:p>
        </w:tc>
      </w:tr>
      <w:tr>
        <w:trPr/>
        <w:tc>
          <w:tcPr>
            <w:tcW w:w="2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Критический</w:t>
            </w:r>
          </w:p>
        </w:tc>
        <w:tc>
          <w:tcPr>
            <w:tcW w:w="2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29 - 35</w:t>
            </w:r>
          </w:p>
        </w:tc>
        <w:tc>
          <w:tcPr>
            <w:tcW w:w="4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менее 55%</w:t>
            </w:r>
          </w:p>
        </w:tc>
      </w:tr>
      <w:tr>
        <w:trPr/>
        <w:tc>
          <w:tcPr>
            <w:tcW w:w="2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Недопустимый</w:t>
            </w:r>
          </w:p>
        </w:tc>
        <w:tc>
          <w:tcPr>
            <w:tcW w:w="2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Меньше 29</w:t>
            </w:r>
          </w:p>
        </w:tc>
        <w:tc>
          <w:tcPr>
            <w:tcW w:w="4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Менее 55%</w:t>
            </w:r>
          </w:p>
        </w:tc>
      </w:tr>
    </w:tbl>
    <w:p>
      <w:pPr>
        <w:pStyle w:val="Normal"/>
        <w:spacing w:before="0" w:after="0"/>
        <w:ind w:firstLine="709"/>
        <w:jc w:val="both"/>
        <w:rPr>
          <w:rFonts w:ascii="Times New Roman" w:hAnsi="Times New Roman"/>
          <w:b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</w:p>
    <w:p>
      <w:pPr>
        <w:pStyle w:val="Normal"/>
        <w:spacing w:before="0" w:after="0"/>
        <w:ind w:firstLine="709"/>
        <w:jc w:val="center"/>
        <w:rPr>
          <w:rFonts w:ascii="Times New Roman" w:hAnsi="Times New Roman"/>
          <w:b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7.2.2. Критерии оценивания кейса (контекстной задачи) </w:t>
      </w:r>
    </w:p>
    <w:p>
      <w:pPr>
        <w:pStyle w:val="Normal"/>
        <w:spacing w:before="0" w:after="0"/>
        <w:ind w:firstLine="709"/>
        <w:jc w:val="center"/>
        <w:rPr>
          <w:rFonts w:ascii="Times New Roman" w:hAnsi="Times New Roman"/>
          <w:b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по модулю «Педагогика и психология»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 решению кейса (контекстной задачи) предъявляются следующие требования:</w:t>
      </w:r>
    </w:p>
    <w:p>
      <w:pPr>
        <w:pStyle w:val="Normal"/>
        <w:numPr>
          <w:ilvl w:val="0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обоснованность аргументов и итоговых выводов на научно обоснованных фактах;</w:t>
      </w:r>
    </w:p>
    <w:p>
      <w:pPr>
        <w:pStyle w:val="Normal"/>
        <w:numPr>
          <w:ilvl w:val="0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выделение противоречий в рассматриваемых позициях;</w:t>
      </w:r>
    </w:p>
    <w:p>
      <w:pPr>
        <w:pStyle w:val="Normal"/>
        <w:numPr>
          <w:ilvl w:val="0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раскрытие и обоснование каждой из представленных точек зрения;</w:t>
      </w:r>
    </w:p>
    <w:p>
      <w:pPr>
        <w:pStyle w:val="Normal"/>
        <w:numPr>
          <w:ilvl w:val="0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четкая формулировка собственных выводов;</w:t>
      </w:r>
    </w:p>
    <w:p>
      <w:pPr>
        <w:pStyle w:val="Normal"/>
        <w:numPr>
          <w:ilvl w:val="0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описание возможных перспектив развития ситуации.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b/>
          <w:b/>
          <w:i/>
          <w:i/>
          <w:sz w:val="24"/>
          <w:szCs w:val="24"/>
        </w:rPr>
      </w:pPr>
      <w:r>
        <w:rPr>
          <w:rFonts w:ascii="Times New Roman" w:hAnsi="Times New Roman"/>
          <w:b/>
          <w:bCs/>
          <w:iCs/>
          <w:sz w:val="24"/>
          <w:szCs w:val="24"/>
        </w:rPr>
        <w:t>Выполнение кейса</w:t>
      </w:r>
      <w:r>
        <w:rPr>
          <w:rFonts w:ascii="Times New Roman" w:hAnsi="Times New Roman"/>
          <w:b/>
          <w:i/>
          <w:sz w:val="24"/>
          <w:szCs w:val="24"/>
        </w:rPr>
        <w:t xml:space="preserve"> </w:t>
      </w:r>
    </w:p>
    <w:p>
      <w:pPr>
        <w:pStyle w:val="Normal"/>
        <w:tabs>
          <w:tab w:val="left" w:pos="3480" w:leader="none"/>
        </w:tabs>
        <w:spacing w:before="0" w:after="0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Вторая часть испытания содержит 2 кейс-задания. Максимальный балл за каждый кейс - 6 баллов (два задания в каждом кейсе, каждое задание по 3 балла). Весовой коэффициент равен 4. Максимальный балл за все кейс-задания составляет 48 баллов (12 ×4 = 48).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i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Оценка производится на основании следующих критериев:</w:t>
      </w:r>
    </w:p>
    <w:tbl>
      <w:tblPr>
        <w:tblW w:w="5000" w:type="pct"/>
        <w:jc w:val="left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2599"/>
        <w:gridCol w:w="2493"/>
        <w:gridCol w:w="4263"/>
      </w:tblGrid>
      <w:tr>
        <w:trPr/>
        <w:tc>
          <w:tcPr>
            <w:tcW w:w="2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Уровни</w:t>
            </w:r>
          </w:p>
        </w:tc>
        <w:tc>
          <w:tcPr>
            <w:tcW w:w="2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Границы оценки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в баллах</w:t>
            </w:r>
          </w:p>
        </w:tc>
        <w:tc>
          <w:tcPr>
            <w:tcW w:w="4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Процент выполнения всех заданий</w:t>
            </w:r>
          </w:p>
        </w:tc>
      </w:tr>
      <w:tr>
        <w:trPr/>
        <w:tc>
          <w:tcPr>
            <w:tcW w:w="2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Оптимальный </w:t>
            </w:r>
          </w:p>
        </w:tc>
        <w:tc>
          <w:tcPr>
            <w:tcW w:w="2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41 - 48</w:t>
            </w:r>
          </w:p>
        </w:tc>
        <w:tc>
          <w:tcPr>
            <w:tcW w:w="4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менее 85%</w:t>
            </w:r>
          </w:p>
        </w:tc>
      </w:tr>
      <w:tr>
        <w:trPr/>
        <w:tc>
          <w:tcPr>
            <w:tcW w:w="2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Допустимый</w:t>
            </w:r>
          </w:p>
        </w:tc>
        <w:tc>
          <w:tcPr>
            <w:tcW w:w="2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34 - 40</w:t>
            </w:r>
          </w:p>
        </w:tc>
        <w:tc>
          <w:tcPr>
            <w:tcW w:w="4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менее 70%</w:t>
            </w:r>
          </w:p>
        </w:tc>
      </w:tr>
      <w:tr>
        <w:trPr/>
        <w:tc>
          <w:tcPr>
            <w:tcW w:w="2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Критический</w:t>
            </w:r>
          </w:p>
        </w:tc>
        <w:tc>
          <w:tcPr>
            <w:tcW w:w="2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26 - 33</w:t>
            </w:r>
          </w:p>
        </w:tc>
        <w:tc>
          <w:tcPr>
            <w:tcW w:w="4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менее 55%</w:t>
            </w:r>
          </w:p>
        </w:tc>
      </w:tr>
      <w:tr>
        <w:trPr/>
        <w:tc>
          <w:tcPr>
            <w:tcW w:w="2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Недопустимый</w:t>
            </w:r>
          </w:p>
        </w:tc>
        <w:tc>
          <w:tcPr>
            <w:tcW w:w="2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Меньше 26</w:t>
            </w:r>
          </w:p>
        </w:tc>
        <w:tc>
          <w:tcPr>
            <w:tcW w:w="4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Менее 55%</w:t>
            </w:r>
          </w:p>
        </w:tc>
      </w:tr>
    </w:tbl>
    <w:p>
      <w:pPr>
        <w:pStyle w:val="Normal"/>
        <w:spacing w:lineRule="auto" w:line="360" w:before="0" w:after="0"/>
        <w:ind w:firstLine="709"/>
        <w:jc w:val="both"/>
        <w:rPr>
          <w:rFonts w:ascii="Times New Roman" w:hAnsi="Times New Roman"/>
          <w:b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</w:p>
    <w:p>
      <w:pPr>
        <w:pStyle w:val="Normal"/>
        <w:spacing w:lineRule="auto" w:line="360" w:before="0" w:after="0"/>
        <w:ind w:firstLine="709"/>
        <w:jc w:val="both"/>
        <w:rPr>
          <w:rFonts w:ascii="Times New Roman" w:hAnsi="Times New Roman"/>
          <w:b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7.3.Критерии оценивания защиты курсового работы</w:t>
      </w:r>
    </w:p>
    <w:p>
      <w:pPr>
        <w:pStyle w:val="Normal"/>
        <w:spacing w:lineRule="auto" w:line="360" w:before="0" w:after="0"/>
        <w:ind w:firstLine="709"/>
        <w:jc w:val="both"/>
        <w:rPr>
          <w:rFonts w:ascii="Times New Roman" w:hAnsi="Times New Roman"/>
          <w:b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</w:p>
    <w:tbl>
      <w:tblPr>
        <w:tblW w:w="5000" w:type="pct"/>
        <w:jc w:val="left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2278"/>
        <w:gridCol w:w="2298"/>
        <w:gridCol w:w="2298"/>
        <w:gridCol w:w="2480"/>
      </w:tblGrid>
      <w:tr>
        <w:trPr/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20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Критерии оценки</w:t>
            </w:r>
          </w:p>
        </w:tc>
        <w:tc>
          <w:tcPr>
            <w:tcW w:w="707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20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Алгоритм оценивания (уровни)</w:t>
            </w:r>
          </w:p>
        </w:tc>
      </w:tr>
      <w:tr>
        <w:trPr/>
        <w:tc>
          <w:tcPr>
            <w:tcW w:w="227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1.Степень представления</w:t>
            </w:r>
            <w:r>
              <w:rPr>
                <w:rFonts w:eastAsia="Times New Roman" w:ascii="Times New Roman" w:hAnsi="Times New Roman"/>
                <w:sz w:val="24"/>
                <w:szCs w:val="24"/>
              </w:rPr>
              <w:t xml:space="preserve"> сути поставленной проблемы.</w:t>
            </w:r>
          </w:p>
        </w:tc>
        <w:tc>
          <w:tcPr>
            <w:tcW w:w="22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5340" w:leader="none"/>
              </w:tabs>
              <w:spacing w:before="0" w:after="20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оптимальный</w:t>
            </w:r>
          </w:p>
        </w:tc>
        <w:tc>
          <w:tcPr>
            <w:tcW w:w="22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20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допустимый</w:t>
            </w:r>
          </w:p>
        </w:tc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20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критический</w:t>
            </w:r>
          </w:p>
        </w:tc>
      </w:tr>
      <w:tr>
        <w:trPr>
          <w:trHeight w:val="937" w:hRule="atLeast"/>
        </w:trPr>
        <w:tc>
          <w:tcPr>
            <w:tcW w:w="227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20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229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5340" w:leader="none"/>
              </w:tabs>
              <w:spacing w:before="0" w:after="20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Суть проблемы исследования формулирует верно и развернуто. </w:t>
            </w:r>
          </w:p>
        </w:tc>
        <w:tc>
          <w:tcPr>
            <w:tcW w:w="229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Анализирует состояние проблемы на момент исследования. Описывает отдельные аспекты результатов научных исследований. </w:t>
            </w:r>
          </w:p>
        </w:tc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Суть проблемы исследования раскрывает не полностью.</w:t>
            </w:r>
          </w:p>
        </w:tc>
      </w:tr>
      <w:tr>
        <w:trPr>
          <w:trHeight w:val="308" w:hRule="atLeast"/>
        </w:trPr>
        <w:tc>
          <w:tcPr>
            <w:tcW w:w="227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20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229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5340" w:leader="none"/>
              </w:tabs>
              <w:spacing w:before="0" w:after="20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</w:r>
          </w:p>
        </w:tc>
        <w:tc>
          <w:tcPr>
            <w:tcW w:w="229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20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</w:r>
          </w:p>
        </w:tc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20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</w:r>
          </w:p>
        </w:tc>
      </w:tr>
      <w:tr>
        <w:trPr>
          <w:trHeight w:val="308" w:hRule="atLeast"/>
        </w:trPr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2.Корректное представление методологического аппарата исследования.</w:t>
            </w:r>
          </w:p>
        </w:tc>
        <w:tc>
          <w:tcPr>
            <w:tcW w:w="22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hd w:val="clear" w:color="auto" w:fill="FFFFFF"/>
              <w:spacing w:before="0" w:after="20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Грамотно формулирует методологический аппарат исследования (цель, задачи, гипотеза исследования) и обосновывает </w:t>
            </w:r>
            <w:r>
              <w:rPr>
                <w:rFonts w:ascii="Times New Roman" w:hAnsi="Times New Roman"/>
                <w:color w:val="000000"/>
                <w:sz w:val="24"/>
                <w:szCs w:val="24"/>
                <w:shd w:fill="FFFFFF" w:val="clear"/>
              </w:rPr>
              <w:t>выбор методов исследования.</w:t>
            </w:r>
          </w:p>
        </w:tc>
        <w:tc>
          <w:tcPr>
            <w:tcW w:w="22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Допускает ошибки в формулировке основных категорий методологического аппарата исследования. Не четко дает обоснование инструментария, выбранного для проведения исследования.</w:t>
            </w:r>
          </w:p>
        </w:tc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Допускает ошибки в формулировке основных категорий методологического аппарата исследования или представляет его структурные единицы не полностью. Не дает обоснование инструментария, выбранного для проведения исследования.</w:t>
            </w:r>
          </w:p>
        </w:tc>
      </w:tr>
      <w:tr>
        <w:trPr>
          <w:trHeight w:val="1300" w:hRule="atLeast"/>
        </w:trPr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3.Степень представления понятийно-терминологического аппарата  исследования.</w:t>
            </w:r>
          </w:p>
        </w:tc>
        <w:tc>
          <w:tcPr>
            <w:tcW w:w="22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5340" w:leader="none"/>
              </w:tabs>
              <w:spacing w:before="0" w:after="20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Верно использует терминологический аппарат  исследования  и </w:t>
            </w:r>
            <w:r>
              <w:rPr>
                <w:rFonts w:ascii="Times New Roman" w:hAnsi="Times New Roman"/>
                <w:sz w:val="24"/>
                <w:szCs w:val="24"/>
                <w:shd w:fill="FAFAFA" w:val="clear"/>
              </w:rPr>
              <w:t>свободно ориентируется в терминологической системе</w:t>
            </w:r>
          </w:p>
        </w:tc>
        <w:tc>
          <w:tcPr>
            <w:tcW w:w="22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Приводит формулировки большинства понятий и терминов, необходимых для исследования.</w:t>
            </w:r>
          </w:p>
        </w:tc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Приводит формулировки некоторых понятий и терминов, необходимых для исследования.</w:t>
            </w:r>
          </w:p>
        </w:tc>
      </w:tr>
      <w:tr>
        <w:trPr/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fill="FFFFFF" w:val="clear"/>
              </w:rPr>
              <w:t>4.Степень проведения анализа научной и (или методической) литературы по исследуемой проблеме.</w:t>
            </w:r>
          </w:p>
        </w:tc>
        <w:tc>
          <w:tcPr>
            <w:tcW w:w="22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fill="FFFFFF" w:val="clear"/>
              </w:rPr>
              <w:t>Представлен качественный критический анализ литературы по проблеме исследования: рассмотрены различные точки зрения на поставленную проблему и о</w:t>
            </w:r>
            <w:r>
              <w:rPr>
                <w:rFonts w:ascii="Times New Roman" w:hAnsi="Times New Roman"/>
                <w:sz w:val="24"/>
                <w:szCs w:val="24"/>
              </w:rPr>
              <w:t>пределены рациональные идеи для решения поставленных задач.</w:t>
            </w:r>
            <w:r>
              <w:rPr>
                <w:rFonts w:ascii="Times New Roman" w:hAnsi="Times New Roman"/>
                <w:color w:val="000000"/>
                <w:sz w:val="24"/>
                <w:szCs w:val="24"/>
                <w:shd w:fill="FFFFFF" w:val="clear"/>
              </w:rPr>
              <w:t xml:space="preserve"> Корректно оформляет список литературы.</w:t>
            </w:r>
          </w:p>
        </w:tc>
        <w:tc>
          <w:tcPr>
            <w:tcW w:w="22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Анализ теоретического материала по теме исследования представляет фрагментарно, рассмотрены отдельные точки зрения на поставленную проблему. Определены идеи для решения поставленных задач. Список литературы оформляет с незначительными нарушениями ГОСТа. В процессе анализа  теоретического материала по теме исследования рассмотрены разные точки зрения на поставленную проблему. Определены идеи для решения поставленных задач. Список литературы оформляет с незначительными нарушениями ГОСТа.</w:t>
            </w:r>
          </w:p>
        </w:tc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владеет навыками критического анализа специальной литературы. Идеи решения поставленных задач четко не выделены. Список литературы оформляет с незначительными нарушениями ГОСТа.</w:t>
              <w:br/>
              <w:t>Анализ теоретического материала по теме исследования представляет фрагментарно.  Идеи решения поставленных задач четко не выделены. Список литературы оформляет с незначительными нарушениями ГОСТа</w:t>
            </w:r>
          </w:p>
          <w:p>
            <w:pPr>
              <w:pStyle w:val="Normal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</w:r>
          </w:p>
          <w:p>
            <w:pPr>
              <w:pStyle w:val="Normal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</w:r>
          </w:p>
          <w:p>
            <w:pPr>
              <w:pStyle w:val="Normal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</w:r>
          </w:p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br/>
            </w:r>
          </w:p>
        </w:tc>
      </w:tr>
      <w:tr>
        <w:trPr/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fill="FFFFFF" w:val="clear"/>
              </w:rPr>
              <w:t>5.Логика построения исследования (проектирования).</w:t>
            </w:r>
          </w:p>
        </w:tc>
        <w:tc>
          <w:tcPr>
            <w:tcW w:w="22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hd w:val="clear" w:color="auto" w:fill="FFFFFF"/>
              <w:spacing w:before="0" w:after="200"/>
              <w:rPr>
                <w:rFonts w:ascii="Times New Roman" w:hAnsi="Times New Roman" w:eastAsia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fill="FFFFFF" w:val="clear"/>
              </w:rPr>
              <w:t xml:space="preserve">Этапы исследования </w:t>
            </w:r>
            <w:r>
              <w:rPr>
                <w:rFonts w:ascii="Times New Roman" w:hAnsi="Times New Roman"/>
                <w:sz w:val="24"/>
                <w:szCs w:val="24"/>
                <w:shd w:fill="FFFFFF" w:val="clear"/>
              </w:rPr>
              <w:t xml:space="preserve">описывает в соответствии </w:t>
            </w:r>
            <w:r>
              <w:rPr>
                <w:rFonts w:ascii="Times New Roman" w:hAnsi="Times New Roman"/>
                <w:color w:val="000000"/>
                <w:sz w:val="24"/>
                <w:szCs w:val="24"/>
                <w:shd w:fill="FFFFFF" w:val="clear"/>
              </w:rPr>
              <w:t xml:space="preserve">с логикой научного исследования </w:t>
            </w:r>
          </w:p>
        </w:tc>
        <w:tc>
          <w:tcPr>
            <w:tcW w:w="22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Излагает материал с несущественными нарушениями логичности и последовательности </w:t>
            </w:r>
          </w:p>
        </w:tc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Материал курсовой работы излагает с нарушениями необходимой последовательности и логичности.</w:t>
            </w:r>
          </w:p>
        </w:tc>
      </w:tr>
      <w:tr>
        <w:trPr/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fill="FFFFFF" w:val="clear"/>
              </w:rPr>
              <w:t>6.Степень решения поставленных задач исследования.</w:t>
            </w:r>
          </w:p>
        </w:tc>
        <w:tc>
          <w:tcPr>
            <w:tcW w:w="22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работе решены все задачи, обоснованы различные точки зрения на поставленную проблему. Выводы соответствуют задачам исследования, аргументированы и конкретны.</w:t>
            </w:r>
          </w:p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курсовой работе, предусматривающей экспериментальную часть исследования, представлена и обоснована методика экспериментального исследования; получен</w:t>
              <w:softHyphen/>
              <w:t xml:space="preserve">ный в ходе исследования фактический материал подвергнут статистической обработке, систематизирован и обобщен в виде методических рекомендаций, программ, моделей и т. п. </w:t>
            </w:r>
          </w:p>
        </w:tc>
        <w:tc>
          <w:tcPr>
            <w:tcW w:w="22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исследовании частично решены поставленные задачи, обоснованы лишь некоторые точки зрения на решение проблемы. Допущены  неточности в формулировке выводов.  В курсовой работе, предусматривающей экспериментальную часть исследования, приведена методика проведения эксперимента. Фактический материал, полученный в ходе констатирующего исследования, не обобщен в виде методических рекомендаций, программ, моделей и т. п.</w:t>
            </w:r>
          </w:p>
        </w:tc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решена большая часть задач, неубедительно представлена доказательная база. Выводы не представлены или не соответствуют поставленным задачам.</w:t>
            </w:r>
          </w:p>
          <w:p>
            <w:pPr>
              <w:pStyle w:val="Normal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курсовой работе, предусматривающей экспериментальную часть исследования, не отражены результаты опытно-практической и экспериментальной работы или отражены частично.</w:t>
            </w:r>
          </w:p>
          <w:p>
            <w:pPr>
              <w:pStyle w:val="Normal"/>
              <w:spacing w:before="0" w:after="20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</w:tr>
      <w:tr>
        <w:trPr>
          <w:trHeight w:val="983" w:hRule="atLeast"/>
        </w:trPr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  <w:vAlign w:val="cente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fill="FFFFFF" w:val="clear"/>
              </w:rPr>
              <w:t>7.Степень самостоятельности в проведении исследования.</w:t>
            </w:r>
          </w:p>
        </w:tc>
        <w:tc>
          <w:tcPr>
            <w:tcW w:w="22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Исследование выполнено самостоятельно. Прослеживается личный вклад студента в разработку темы.</w:t>
            </w:r>
          </w:p>
          <w:p>
            <w:pPr>
              <w:pStyle w:val="Normal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курсовой работе, предусматривающей экспериментальную часть исследования, реализован самостоятельный подход к разработке программы (плана) эксперимента.</w:t>
            </w:r>
          </w:p>
          <w:p>
            <w:pPr>
              <w:pStyle w:val="Normal"/>
              <w:spacing w:before="0" w:after="20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22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Исследование выполнено самостоятельно только на основе плана и рекомендаций руководителя.</w:t>
            </w:r>
          </w:p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курсовой работе, предусматривающей экспериментальную часть исследования, составление плана и сам эксперимент выполнены под непосредственным руководством преподавателя или обработка результатов</w:t>
            </w:r>
            <w:r>
              <w:rPr>
                <w:rFonts w:ascii="Times New Roman" w:hAnsi="Times New Roman"/>
                <w:color w:val="0070C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выполнены с помощью преподавателя.</w:t>
            </w:r>
          </w:p>
        </w:tc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Курсовая работа носит реферативный характер. Позиция студента по существу исследуемых вопросов отсутствует.</w:t>
            </w:r>
          </w:p>
          <w:p>
            <w:pPr>
              <w:pStyle w:val="Normal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курсовой работе, предусматривающей проведение эксперимента,  экспериментальная часть  работы  не выполнена или выполнена некорректно.</w:t>
            </w:r>
          </w:p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Степень самостоятельности незначительная.</w:t>
            </w:r>
          </w:p>
        </w:tc>
      </w:tr>
      <w:tr>
        <w:trPr/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  <w:vAlign w:val="cente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fill="FFFFFF" w:val="clear"/>
              </w:rPr>
              <w:t>8.Прикладной аспект исследования.</w:t>
            </w:r>
          </w:p>
        </w:tc>
        <w:tc>
          <w:tcPr>
            <w:tcW w:w="22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tabs>
                <w:tab w:val="left" w:pos="5340" w:leader="none"/>
              </w:tabs>
              <w:spacing w:before="0" w:after="20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Представляет перспективы использования полученных результатов и рекомендаций в исследуемой предметной области.</w:t>
            </w:r>
          </w:p>
        </w:tc>
        <w:tc>
          <w:tcPr>
            <w:tcW w:w="22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Представляет некоторые способы практического применения результатов в исследуемой предметной области.</w:t>
            </w:r>
          </w:p>
        </w:tc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выделяет прикладные аспекты дальнейшего исследования</w:t>
            </w:r>
          </w:p>
        </w:tc>
      </w:tr>
      <w:tr>
        <w:trPr/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rFonts w:ascii="Times New Roman" w:hAnsi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9. Степень о</w:t>
            </w:r>
            <w:r>
              <w:rPr>
                <w:rFonts w:ascii="Times New Roman" w:hAnsi="Times New Roman"/>
                <w:color w:val="000000"/>
                <w:sz w:val="24"/>
                <w:szCs w:val="24"/>
                <w:shd w:fill="FFFFFF" w:val="clear"/>
              </w:rPr>
              <w:t>формления и стиль проведенного исследования.</w:t>
            </w:r>
          </w:p>
          <w:p>
            <w:pPr>
              <w:pStyle w:val="Normal"/>
              <w:spacing w:before="0" w:after="20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22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Владеет научным стилем письменной речи. Соблюдает требования, предъявляемые к структуре  и объему курсовой работы.</w:t>
            </w:r>
          </w:p>
        </w:tc>
        <w:tc>
          <w:tcPr>
            <w:tcW w:w="22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Применяет отдельные элементы научного стиля письменной речи.  Допускает несущественные ошибки в структуре курсовой  работы.</w:t>
            </w:r>
          </w:p>
        </w:tc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владеет приемами изложения  текста в научном стиле. Допускает существенные ошибки в оформлении работы.</w:t>
            </w:r>
          </w:p>
        </w:tc>
      </w:tr>
      <w:tr>
        <w:trPr/>
        <w:tc>
          <w:tcPr>
            <w:tcW w:w="2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10.Качество представления курсовой работы  на защите.</w:t>
            </w:r>
          </w:p>
        </w:tc>
        <w:tc>
          <w:tcPr>
            <w:tcW w:w="22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Содержание презентации соответствует теме и содержанию курсовой работы. Четко, последовательно и логично  излагает суть исследования, свободно владеет материалом. Умеет вести диалог и давать комментарии в ходе ответов на вопросы.</w:t>
            </w:r>
          </w:p>
        </w:tc>
        <w:tc>
          <w:tcPr>
            <w:tcW w:w="22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Содержание презентации отражает  отдельные результаты  курсовой работы. Логично излагает материал, но не достаточно уверенно отвечает на вопросы в ходе защиты. </w:t>
            </w:r>
          </w:p>
        </w:tc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Презентация не  отражает   основного содержания 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курсовой работы. </w:t>
            </w:r>
            <w:r>
              <w:rPr>
                <w:rFonts w:ascii="Times New Roman" w:hAnsi="Times New Roman"/>
                <w:sz w:val="24"/>
                <w:szCs w:val="24"/>
              </w:rPr>
              <w:t>Затрудняется в ответах на поставленные вопросы по теме, при ответе допускает существенные ошибки.</w:t>
            </w:r>
          </w:p>
        </w:tc>
      </w:tr>
    </w:tbl>
    <w:p>
      <w:pPr>
        <w:pStyle w:val="Normal"/>
        <w:spacing w:before="0" w:after="0"/>
        <w:rPr>
          <w:rFonts w:ascii="Times New Roman" w:hAnsi="Times New Roman"/>
          <w:i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</w:r>
    </w:p>
    <w:p>
      <w:pPr>
        <w:pStyle w:val="Normal"/>
        <w:spacing w:before="0" w:after="0"/>
        <w:rPr>
          <w:rFonts w:ascii="Times New Roman" w:hAnsi="Times New Roman"/>
          <w:i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 xml:space="preserve">Примечание. </w:t>
      </w:r>
    </w:p>
    <w:p>
      <w:pPr>
        <w:pStyle w:val="Normal"/>
        <w:spacing w:before="0" w:after="0"/>
        <w:rPr>
          <w:rFonts w:ascii="Times New Roman" w:hAnsi="Times New Roman"/>
          <w:i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1) Оценка сформированности компетенций осуществляется на основе 10 критериев и соответствующих индикаторов.</w:t>
      </w:r>
    </w:p>
    <w:p>
      <w:pPr>
        <w:pStyle w:val="Normal"/>
        <w:spacing w:before="0" w:after="0"/>
        <w:rPr>
          <w:rFonts w:ascii="Times New Roman" w:hAnsi="Times New Roman"/>
          <w:i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 xml:space="preserve">2) Каждый критерий раскрывается через показатели (индикаторы), позволяющие установить уровень сформированности компетенций: </w:t>
      </w:r>
    </w:p>
    <w:p>
      <w:pPr>
        <w:pStyle w:val="Normal"/>
        <w:spacing w:before="0" w:after="0"/>
        <w:rPr>
          <w:rFonts w:ascii="Times New Roman" w:hAnsi="Times New Roman"/>
          <w:b/>
          <w:b/>
          <w:i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оптимальный, допустимый, критический, недопустимый.</w:t>
      </w:r>
    </w:p>
    <w:p>
      <w:pPr>
        <w:pStyle w:val="Normal"/>
        <w:spacing w:before="0" w:after="0"/>
        <w:rPr>
          <w:rFonts w:ascii="Times New Roman" w:hAnsi="Times New Roman"/>
          <w:i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3) Выполнение каждого критерия оценивается по 10</w:t>
      </w:r>
      <w:r>
        <w:rPr>
          <w:rFonts w:ascii="Times New Roman" w:hAnsi="Times New Roman"/>
          <w:b/>
          <w:i/>
          <w:sz w:val="24"/>
          <w:szCs w:val="24"/>
        </w:rPr>
        <w:t>-балльной шкале</w:t>
      </w:r>
      <w:r>
        <w:rPr>
          <w:rFonts w:ascii="Times New Roman" w:hAnsi="Times New Roman"/>
          <w:i/>
          <w:sz w:val="24"/>
          <w:szCs w:val="24"/>
        </w:rPr>
        <w:t>.</w:t>
      </w:r>
    </w:p>
    <w:p>
      <w:pPr>
        <w:pStyle w:val="Normal"/>
        <w:spacing w:before="0" w:after="0"/>
        <w:rPr>
          <w:rFonts w:ascii="Times New Roman" w:hAnsi="Times New Roman"/>
          <w:i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4) Итоговая оценка по всем 10 критериям получается суммированием баллов по каждому критерию.</w:t>
      </w:r>
    </w:p>
    <w:p>
      <w:pPr>
        <w:pStyle w:val="Normal"/>
        <w:spacing w:before="0" w:after="0"/>
        <w:rPr>
          <w:rFonts w:ascii="Times New Roman" w:hAnsi="Times New Roman"/>
          <w:i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</w:r>
    </w:p>
    <w:p>
      <w:pPr>
        <w:pStyle w:val="Normal"/>
        <w:spacing w:before="0"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Таблица. Определение уровня сформированности компетенций у выпускников на защите курсовой работы и оценка курсовой работы  в баллах.</w:t>
      </w:r>
    </w:p>
    <w:tbl>
      <w:tblPr>
        <w:tblW w:w="9606" w:type="dxa"/>
        <w:jc w:val="left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1913"/>
        <w:gridCol w:w="2801"/>
        <w:gridCol w:w="4892"/>
      </w:tblGrid>
      <w:tr>
        <w:trPr/>
        <w:tc>
          <w:tcPr>
            <w:tcW w:w="1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Уровни</w:t>
            </w:r>
          </w:p>
        </w:tc>
        <w:tc>
          <w:tcPr>
            <w:tcW w:w="2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Границы суммарной оценки (за 10 критериев)</w:t>
            </w:r>
          </w:p>
        </w:tc>
        <w:tc>
          <w:tcPr>
            <w:tcW w:w="4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Процент выполнения всех критериев</w:t>
            </w:r>
          </w:p>
        </w:tc>
      </w:tr>
      <w:tr>
        <w:trPr/>
        <w:tc>
          <w:tcPr>
            <w:tcW w:w="1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Оптимальный</w:t>
            </w:r>
          </w:p>
        </w:tc>
        <w:tc>
          <w:tcPr>
            <w:tcW w:w="2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85 - 100</w:t>
            </w:r>
          </w:p>
        </w:tc>
        <w:tc>
          <w:tcPr>
            <w:tcW w:w="4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менее 85%</w:t>
            </w:r>
          </w:p>
        </w:tc>
      </w:tr>
      <w:tr>
        <w:trPr/>
        <w:tc>
          <w:tcPr>
            <w:tcW w:w="1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Допустимый</w:t>
            </w:r>
          </w:p>
        </w:tc>
        <w:tc>
          <w:tcPr>
            <w:tcW w:w="2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84 - 70</w:t>
            </w:r>
          </w:p>
        </w:tc>
        <w:tc>
          <w:tcPr>
            <w:tcW w:w="4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менее 70%</w:t>
            </w:r>
          </w:p>
        </w:tc>
      </w:tr>
      <w:tr>
        <w:trPr/>
        <w:tc>
          <w:tcPr>
            <w:tcW w:w="1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Критический</w:t>
            </w:r>
          </w:p>
        </w:tc>
        <w:tc>
          <w:tcPr>
            <w:tcW w:w="2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55 - 69</w:t>
            </w:r>
          </w:p>
        </w:tc>
        <w:tc>
          <w:tcPr>
            <w:tcW w:w="4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менее 55%</w:t>
            </w:r>
          </w:p>
        </w:tc>
      </w:tr>
      <w:tr>
        <w:trPr/>
        <w:tc>
          <w:tcPr>
            <w:tcW w:w="1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Недопустимый</w:t>
            </w:r>
          </w:p>
        </w:tc>
        <w:tc>
          <w:tcPr>
            <w:tcW w:w="2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Меньше 55</w:t>
            </w:r>
          </w:p>
        </w:tc>
        <w:tc>
          <w:tcPr>
            <w:tcW w:w="4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Менее 55%</w:t>
            </w:r>
          </w:p>
        </w:tc>
      </w:tr>
    </w:tbl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/>
          <w:b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8. Перечень литературы для подготовки к государственному экзамену</w: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8.1. Основная литература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</w:t>
        <w:tab/>
        <w:t>Бордовская Н.В. Педагогика: учебное пособие для студентов вузов: Допущено учебно-методическим объединением вузов России /Бордовская Н.В., Реан А.А.. –  СПб: Питер, 2013. – 299 с.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</w:t>
        <w:tab/>
        <w:t>Педагогика: учеб. пособие для студентов высших учебных заведений педагогических специальностей и направлений /Под редакцией Л.В.Загрековой, В.В.Николиной. – Н.Новгород: НГПУ, 2014. – 232 с.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</w:t>
        <w:tab/>
        <w:t>Педагогика: учебное пособие для студентов вузов: Допущено Министерством образования Российской Федерации /Под ред. Крившенко. – М.: Проспект, 2012. – 432 с.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4.</w:t>
        <w:tab/>
        <w:t>Трофимова Т.И. Физика. Задачи: учеб.пособие для студентов вузов, обуч-ся по техн.напр. Москва: Академия, 2015.-</w:t>
      </w:r>
      <w:r>
        <w:rPr/>
        <w:t xml:space="preserve"> </w:t>
      </w:r>
      <w:r>
        <w:rPr>
          <w:rFonts w:ascii="Times New Roman" w:hAnsi="Times New Roman"/>
          <w:sz w:val="24"/>
          <w:szCs w:val="24"/>
        </w:rPr>
        <w:t>336 с.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</w:t>
        <w:tab/>
        <w:t>Трофимова Т.И. Физика: учеб.для студентов вузов:рек.ФГОУ высшего проф.образования. Москва: Академия, 2013.-352 с.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6.</w:t>
        <w:tab/>
        <w:t>Полькина Е.А., Стакун Н.С. Сборник заданий по высшей математике с образцами решений (математический анализ): Учеб.-метод.пособие, Москва: Прометей, 2013.-</w:t>
      </w:r>
      <w:r>
        <w:rPr/>
        <w:t xml:space="preserve"> </w:t>
      </w:r>
      <w:r>
        <w:rPr>
          <w:rFonts w:ascii="Times New Roman" w:hAnsi="Times New Roman"/>
          <w:sz w:val="24"/>
          <w:szCs w:val="24"/>
        </w:rPr>
        <w:t>200 с.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7.</w:t>
        <w:tab/>
        <w:t>Будаев В.Д., Якубсон М.Я. Математический анализ. Функции одной переменной: учеб.для студентов вузов:допущено УМО по напр.пед.образования М-ва образования и науки РФ, Санкт-Петербург: Лань, 2012.-</w:t>
      </w:r>
      <w:r>
        <w:rPr/>
        <w:t xml:space="preserve"> </w:t>
      </w:r>
      <w:r>
        <w:rPr>
          <w:rFonts w:ascii="Times New Roman" w:hAnsi="Times New Roman"/>
          <w:sz w:val="24"/>
          <w:szCs w:val="24"/>
        </w:rPr>
        <w:t>544 с.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8.</w:t>
        <w:tab/>
        <w:t>Зимина О.В. Линейная алгебра и аналитическая геометрия, Учеб.комплекс: учеб.пособие для студ.вузов: Рек.НМС по математике М-ва образования и науки РФ: Ростов на Дону: Феникс, 2015.-</w:t>
      </w:r>
      <w:r>
        <w:rPr/>
        <w:t xml:space="preserve"> </w:t>
      </w:r>
      <w:r>
        <w:rPr>
          <w:rFonts w:ascii="Times New Roman" w:hAnsi="Times New Roman"/>
          <w:sz w:val="24"/>
          <w:szCs w:val="24"/>
        </w:rPr>
        <w:t>377 с.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9. Маклаков А.Г. Общая психология</w:t>
      </w:r>
      <w:r>
        <w:rPr>
          <w:rFonts w:ascii="Times New Roman" w:hAnsi="Times New Roman"/>
          <w:b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Учеб. пособие для студентов вузов и слушателей курсов психол. дисциплин: Рек. Учеб.-метод. советом по базовому психол. образованию, Санкт-Петербург: Питер 2014.-583с.</w:t>
      </w:r>
    </w:p>
    <w:p>
      <w:pPr>
        <w:pStyle w:val="ListParagraph"/>
        <w:numPr>
          <w:ilvl w:val="0"/>
          <w:numId w:val="7"/>
        </w:numPr>
        <w:spacing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Педагогическая психология: учеб. для акад. бакалавриата: Рек.УМО высш.образования: В 2 ч. Ч.1 / Савенков Александр Ильич. - 3-е изд.,перераб.и доп. - Москва : Юрайт, 2017. - 317 с. </w:t>
      </w:r>
    </w:p>
    <w:p>
      <w:pPr>
        <w:pStyle w:val="ListParagraph"/>
        <w:numPr>
          <w:ilvl w:val="0"/>
          <w:numId w:val="7"/>
        </w:numPr>
        <w:spacing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Психология: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учебник для студентов вузов: допущено М-вом образования и науки РФ/ Под общ. ред. В.А. Сластенина, А.С. Обухова. - М.:Юрайт, 2013. - 530 с.</w:t>
      </w:r>
    </w:p>
    <w:p>
      <w:pPr>
        <w:pStyle w:val="ListParagraph"/>
        <w:numPr>
          <w:ilvl w:val="0"/>
          <w:numId w:val="7"/>
        </w:numPr>
        <w:spacing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Психология развития и возрастная психология</w:t>
      </w:r>
      <w:r>
        <w:rPr>
          <w:rFonts w:ascii="Times New Roman" w:hAnsi="Times New Roman"/>
          <w:sz w:val="24"/>
          <w:szCs w:val="24"/>
        </w:rPr>
        <w:t>: учеб.и практикум для прикл.бакалавриата: учеб.для студентов вузов, обуч-ся по гуманит.напр.и спец.: Рек.УМО высш.образования / Под общ.ред. Л.А. Головей. - Москва : Юрайт, 2016.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b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8.2. Дополнительная литература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Акулова О.В и др. Компетентностная модель современного педагога: учеб.-метод. Пособие. – СПб., 2007.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Борытко Н.М. Педагогика: учебное пособие для студентов вузов: Рекомендовано учебно-методическим объединением вузов России. М.: Академия, 2007. – 492 с.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Бухвалов, В. А. Педагогическая экспертиза школы : пособие для методистов, завучей и директоров школ / В. А. Бухвалов, Я. Г. Плинер. - М. : Педагогический поиск, 2000. – 160 с. 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Введение в педагогическую деятельность: учебное пособие для студентов вузов: рекомендовано учебно-методическим объединением по специальностям педагогического образования /Под ред. А.С. Роботовой. – М.: Академия, 2007. – 219 с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Воспитательная деятельность педагога: учебное пособие / под общей редакцией В.А.Сластенина, И.А.Колесниковой.- 3-е издание.- М.: Академия, 2008 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Галанов, А. С. Как пройти аттестацию : советы психолога учителю / А. С. Галанов. - М. : Издательство Института Психотерапии, 2011. - 149 с. 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Данилюк А.М., Кондаков В.А., Тишков. Концепция духовно-нравственного развития и воспитания личности гражданина России. – М.: Просвещение, 2009.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Загвязинский В.И. Общая педагогика: учебное пособие для студентов вузов России / Загвязинский В.И., Емельянова И.Н. – М.: Высшая школа, 2008. – 391 с.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Закон «Об образовании в Российской Федерации». – М.: ООО «Изд-во Астрель», 2013.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Зубов, Н. Как руководить педагогами : пособие для руководителей образовательных учреждений / Н. Зубов. - 2-е изд. , испр. , доп. - М. : АРКТИ, 2013. - 139 с. 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Конаржевский, Ю. А. Менеджмент и внутришкольное управление / Ю. А. Конаржевский. - М. : Педагогический поиск, 2010. - 222 с.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Крулехт, М. В. Экспертные оценки в образовании : учебное пособие для вузов / М. В. Крулехт, И. В. Тельнюк. - М. : Академия, 2002. – 110 с. 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Лизинский, В. М. О методической работе в школе / В. М. Лизинский. - М. : Педагогический поиск, 2002. - 160 с. 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Матяш Н.В. Инновационные педагогические технологии. Проектное обучение: Учеб. пособие для студентов учреждений высш. проф. образования / Н.В.Матяш.- М.: Академия, 2011.- 144 с.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Осмоловская И.М. Словесные методы обучения: Учеб. пособие для студентов вузов, обуч-ся по пед. спец. / И.М.Осмоловская.- М.: Академия, 2008.- 171 с.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Панфилова  А.П. Инновационные педагогические технологии. Активное обучение: учеб. пособие для студентов вузов: рек. УМО по напр. пед. образования /А.Н.Панфилова.- М.: Академия, 2009.- 192 с.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Педагогические технологии: Учеб. пособие для студентов пед.  спец. / М.В. Буланова-Топоркова, А.В.Духавнева, В.С.Кукушин, Г.В.Сучков; Под общ. ред. В.С.Кукушина.- 4-е изд., перераб. и доп.- М.; Р н/Д: МарТ, 2010.- 333 с.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Полат Е.С. Современные педагогические и информационные технологии в системе образования: Учеб. пособие для студентов вузов: Рек. УМО по спец. пед. образования / Е.С.Полат, М.Ю.Бухаркина.- 2-е изд., стереотип.- М.: Академия, 2008.- 365 с.-(Высшее профессиональное образование 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 w:eastAsia="Times New Roman"/>
          <w:b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Скок, Г.Б. Как проанализировать собственную педагогическую деятельность : учебное пособие / Г. Б. Скок. - 2-е изд. - М. : Педагогическое общество России, 2000. – 101 с.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Современные образовательные технологии: Учеб. пособие для студентов, магистрантов, аспирантов, шк. педагогов и вуз. Преподавателей: Рек. Науч.-метод. советом М-ва образования и науки по психологии и педагогике / Под ред. Н.В.Бордовской.- М.: КноРус, 2010.- 232 с.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Федеральный государственный стандарт основного общего образования. / РАН, РАО; под ред. В.В. Козлова, А.М. Кондакова – М.Просвещение, 2011. – 79с.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Фундаментальное ядро содержания общего образования / под ред. В.В.Козлова, А.М.Кондакова. – М.:Просвещение, 2011.- 33с.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Ильин В.А., Ким Г.Д. Линейная алгебра и аналитическая геометрия: учеб.для студентов ун-тов и техн.вузов:допущено М-вом образования и науки РФ, Москва: Проспект, 2012.-</w:t>
      </w:r>
      <w:r>
        <w:rPr/>
        <w:t xml:space="preserve"> </w:t>
      </w:r>
      <w:r>
        <w:rPr>
          <w:rFonts w:ascii="Times New Roman" w:hAnsi="Times New Roman"/>
          <w:sz w:val="24"/>
          <w:szCs w:val="24"/>
        </w:rPr>
        <w:t>400 с.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Кадомцев С.Б. Аналитическая геометрия и линейная алгебра, Москва: Физматлит, 2011.-</w:t>
      </w:r>
      <w:r>
        <w:rPr/>
        <w:t xml:space="preserve"> </w:t>
      </w:r>
      <w:r>
        <w:rPr>
          <w:rFonts w:ascii="Times New Roman" w:hAnsi="Times New Roman"/>
          <w:sz w:val="24"/>
          <w:szCs w:val="24"/>
        </w:rPr>
        <w:t>168 с.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Понтрягин Л.С. Дифференциальные уравнения и их приложения, Москва: УРСС, 2011.-</w:t>
      </w:r>
      <w:r>
        <w:rPr/>
        <w:t xml:space="preserve"> </w:t>
      </w:r>
      <w:r>
        <w:rPr>
          <w:rFonts w:ascii="Times New Roman" w:hAnsi="Times New Roman"/>
          <w:sz w:val="24"/>
          <w:szCs w:val="24"/>
        </w:rPr>
        <w:t>208 с.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/>
      </w:pPr>
      <w:r>
        <w:rPr>
          <w:rFonts w:ascii="Times New Roman" w:hAnsi="Times New Roman"/>
          <w:sz w:val="24"/>
          <w:szCs w:val="24"/>
        </w:rPr>
        <w:t>Гурова З.И., Каролинская С.Н. Математический анализ. Начальный курс с примерами и задачами, учеб.пособие для студентов:рек.УМО вузов РФ, Москва: Физматлит, 2007.-</w:t>
      </w:r>
      <w:r>
        <w:rPr/>
        <w:t xml:space="preserve"> </w:t>
      </w:r>
      <w:r>
        <w:rPr>
          <w:rFonts w:ascii="Times New Roman" w:hAnsi="Times New Roman"/>
          <w:sz w:val="24"/>
          <w:szCs w:val="24"/>
        </w:rPr>
        <w:t>351 с.</w:t>
      </w:r>
    </w:p>
    <w:sectPr>
      <w:footnotePr>
        <w:numFmt w:val="decimal"/>
      </w:footnotePr>
      <w:type w:val="nextPage"/>
      <w:pgSz w:w="11906" w:h="16838"/>
      <w:pgMar w:left="1701" w:right="850" w:header="0" w:top="1134" w:footer="0" w:bottom="1134" w:gutter="0"/>
      <w:pgNumType w:fmt="decimal"/>
      <w:formProt w:val="false"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roman"/>
    <w:pitch w:val="variable"/>
  </w:font>
  <w:font w:name="Times New Roman">
    <w:charset w:val="01"/>
    <w:family w:val="roman"/>
    <w:pitch w:val="variable"/>
  </w:font>
  <w:font w:name="Tahoma">
    <w:charset w:val="01"/>
    <w:family w:val="roman"/>
    <w:pitch w:val="variable"/>
  </w:font>
  <w:font w:name="TimesET">
    <w:charset w:val="01"/>
    <w:family w:val="roman"/>
    <w:pitch w:val="variable"/>
  </w:font>
  <w:font w:name="Liberation Sans">
    <w:altName w:val="Arial"/>
    <w:charset w:val="01"/>
    <w:family w:val="swiss"/>
    <w:pitch w:val="variable"/>
  </w:font>
  <w:font w:name="Symbol">
    <w:charset w:val="02"/>
    <w:family w:val="auto"/>
    <w:pitch w:val="default"/>
  </w:font>
  <w:font w:name="Courier New">
    <w:charset w:val="01"/>
    <w:family w:val="auto"/>
    <w:pitch w:val="default"/>
  </w:font>
  <w:font w:name="Wingdings">
    <w:charset w:val="02"/>
    <w:family w:val="auto"/>
    <w:pitch w:val="default"/>
  </w:font>
</w:fonts>
</file>

<file path=word/footnotes.xml><?xml version="1.0" encoding="utf-8"?>
<w:footnotes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footnote w:id="0" w:type="separator">
    <w:p>
      <w:r>
        <w:separator/>
      </w:r>
    </w:p>
  </w:footnote>
  <w:footnote w:id="1" w:type="continuationSeparator">
    <w:p>
      <w:r>
        <w:continuationSeparator/>
      </w:r>
    </w:p>
  </w:footnote>
  <w:footnote w:id="2">
    <w:p>
      <w:pPr>
        <w:pStyle w:val="Normal"/>
        <w:spacing w:lineRule="auto" w:line="240" w:before="0" w:after="0"/>
        <w:jc w:val="both"/>
        <w:rPr/>
      </w:pPr>
      <w:r>
        <w:rPr>
          <w:rStyle w:val="Style21"/>
        </w:rPr>
        <w:footnoteRef/>
      </w:r>
      <w:r>
        <w:rPr>
          <w:rStyle w:val="FootnoteCharacters"/>
        </w:rPr>
        <w:tab/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Допускается приводить не полный перечень компетенций, формируемых в рамках освоения ОПОП и регламентируемых ФГОС ВО (ФГОС ВПО).</w:t>
      </w:r>
    </w:p>
  </w:footnote>
  <w:footnote w:id="3">
    <w:p>
      <w:pPr>
        <w:pStyle w:val="Normal"/>
        <w:spacing w:lineRule="auto" w:line="240" w:before="0" w:after="0"/>
        <w:jc w:val="both"/>
        <w:rPr/>
      </w:pPr>
      <w:r>
        <w:rPr>
          <w:rStyle w:val="Style21"/>
        </w:rPr>
        <w:footnoteRef/>
      </w:r>
      <w:r>
        <w:rPr>
          <w:rStyle w:val="FootnoteCharacters"/>
        </w:rPr>
        <w:tab/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Наименование разделов может соответствовать дисциплинам, включенных в программу  комплексного экзамена, либо может представлять собой комплексные темы междисциплинарного характера.</w:t>
      </w:r>
    </w:p>
  </w:footnote>
</w:footnote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>
  <w:abstractNum w:abstractNumId="1"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  <w:rFonts w:cs="Courier New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  <w:rFonts w:cs="Courier New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  <w:rFonts w:cs="Courier New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2"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  <w:rFonts w:cs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  <w:rFonts w:cs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">
    <w:lvl w:ilvl="0">
      <w:start w:val="1"/>
      <w:numFmt w:val="decimal"/>
      <w:lvlText w:val="%1."/>
      <w:lvlJc w:val="left"/>
      <w:pPr>
        <w:ind w:left="1429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  <w:rFonts w:cs="Courier New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  <w:rFonts w:cs="Courier New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  <w:rFonts w:cs="Courier New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5">
    <w:lvl w:ilvl="0">
      <w:start w:val="1"/>
      <w:numFmt w:val="bullet"/>
      <w:lvlText w:val=""/>
      <w:lvlJc w:val="left"/>
      <w:pPr>
        <w:tabs>
          <w:tab w:val="num" w:pos="900"/>
        </w:tabs>
        <w:ind w:left="900" w:hanging="360"/>
      </w:pPr>
      <w:rPr>
        <w:rFonts w:ascii="Symbol" w:hAnsi="Symbol" w:cs="Symbol" w:hint="default"/>
        <w:sz w:val="24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lvl w:ilvl="0">
      <w:start w:val="1"/>
      <w:numFmt w:val="decimal"/>
      <w:lvlText w:val="%1."/>
      <w:lvlJc w:val="left"/>
      <w:pPr>
        <w:ind w:left="1429" w:hanging="360"/>
      </w:pPr>
      <w:rPr>
        <w:sz w:val="24"/>
        <w:i w:val="false"/>
        <w:b/>
        <w:rFonts w:ascii="Times New Roman" w:hAnsi="Times New Roman"/>
      </w:r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7">
    <w:lvl w:ilvl="0">
      <w:start w:val="10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lvl w:ilvl="0">
      <w:start w:val="1"/>
      <w:numFmt w:val="none"/>
      <w:suff w:val="nothing"/>
      <w:lvlText w:val=""/>
      <w:lvlJc w:val="left"/>
      <w:pPr>
        <w:ind w:left="0" w:hanging="0"/>
      </w:pPr>
    </w:lvl>
    <w:lvl w:ilvl="1">
      <w:start w:val="1"/>
      <w:numFmt w:val="none"/>
      <w:suff w:val="nothing"/>
      <w:lvlText w:val=""/>
      <w:lvlJc w:val="left"/>
      <w:pPr>
        <w:ind w:left="0" w:hanging="0"/>
      </w:pPr>
    </w:lvl>
    <w:lvl w:ilvl="2">
      <w:start w:val="1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numFmt w:val="none"/>
      <w:suff w:val="nothing"/>
      <w:lvlText w:val=""/>
      <w:lvlJc w:val="left"/>
      <w:pPr>
        <w:ind w:left="0" w:hanging="0"/>
      </w:pPr>
    </w:lvl>
    <w:lvl w:ilvl="5">
      <w:start w:val="1"/>
      <w:numFmt w:val="none"/>
      <w:suff w:val="nothing"/>
      <w:lvlText w:val=""/>
      <w:lvlJc w:val="left"/>
      <w:pPr>
        <w:ind w:left="0" w:hanging="0"/>
      </w:pPr>
    </w:lvl>
    <w:lvl w:ilvl="6">
      <w:start w:val="1"/>
      <w:numFmt w:val="none"/>
      <w:suff w:val="nothing"/>
      <w:lvlText w:val=""/>
      <w:lvlJc w:val="left"/>
      <w:pPr>
        <w:ind w:left="0" w:hanging="0"/>
      </w:pPr>
    </w:lvl>
    <w:lvl w:ilvl="7">
      <w:start w:val="1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</w:numbering>
</file>

<file path=word/settings.xml><?xml version="1.0" encoding="utf-8"?>
<w:settings xmlns:w="http://schemas.openxmlformats.org/wordprocessingml/2006/main">
  <w:zoom w:percent="100"/>
  <w:defaultTabStop w:val="708"/>
  <w:footnotePr>
    <w:numFmt w:val="decimal"/>
    <w:footnote w:id="0"/>
    <w:footnote w:id="1"/>
  </w:footnotePr>
  <w:compat/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Times New Roman"/>
        <w:lang w:val="ru-RU" w:eastAsia="ru-RU" w:bidi="ar-SA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9e5d3a"/>
    <w:pPr>
      <w:widowControl/>
      <w:bidi w:val="0"/>
      <w:spacing w:lineRule="auto" w:line="276" w:before="0" w:after="200"/>
      <w:jc w:val="left"/>
    </w:pPr>
    <w:rPr>
      <w:rFonts w:ascii="Calibri" w:hAnsi="Calibri" w:eastAsia="Calibri" w:cs="Times New Roman"/>
      <w:color w:val="auto"/>
      <w:kern w:val="0"/>
      <w:sz w:val="22"/>
      <w:szCs w:val="22"/>
      <w:lang w:eastAsia="en-US" w:val="ru-RU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4">
    <w:name w:val="Привязка сноски"/>
    <w:rPr>
      <w:vertAlign w:val="superscript"/>
    </w:rPr>
  </w:style>
  <w:style w:type="character" w:styleId="FootnoteCharacters">
    <w:name w:val="Footnote Characters"/>
    <w:uiPriority w:val="99"/>
    <w:semiHidden/>
    <w:unhideWhenUsed/>
    <w:qFormat/>
    <w:rsid w:val="006e6470"/>
    <w:rPr>
      <w:vertAlign w:val="superscript"/>
    </w:rPr>
  </w:style>
  <w:style w:type="character" w:styleId="Style15" w:customStyle="1">
    <w:name w:val="Обычный (веб) Знак"/>
    <w:link w:val="a3"/>
    <w:uiPriority w:val="99"/>
    <w:qFormat/>
    <w:locked/>
    <w:rsid w:val="006e6470"/>
    <w:rPr>
      <w:rFonts w:ascii="Times New Roman" w:hAnsi="Times New Roman" w:eastAsia="Times New Roman" w:cs="Times New Roman"/>
      <w:sz w:val="24"/>
      <w:szCs w:val="24"/>
      <w:lang w:eastAsia="ru-RU"/>
    </w:rPr>
  </w:style>
  <w:style w:type="character" w:styleId="Annotationreference">
    <w:name w:val="annotation reference"/>
    <w:uiPriority w:val="99"/>
    <w:semiHidden/>
    <w:unhideWhenUsed/>
    <w:qFormat/>
    <w:rsid w:val="006f13a9"/>
    <w:rPr>
      <w:sz w:val="16"/>
      <w:szCs w:val="16"/>
    </w:rPr>
  </w:style>
  <w:style w:type="character" w:styleId="Style16" w:customStyle="1">
    <w:name w:val="Текст примечания Знак"/>
    <w:link w:val="a7"/>
    <w:uiPriority w:val="99"/>
    <w:semiHidden/>
    <w:qFormat/>
    <w:rsid w:val="006f13a9"/>
    <w:rPr>
      <w:rFonts w:ascii="Calibri" w:hAnsi="Calibri" w:eastAsia="Calibri" w:cs="Times New Roman"/>
      <w:sz w:val="20"/>
      <w:szCs w:val="20"/>
    </w:rPr>
  </w:style>
  <w:style w:type="character" w:styleId="Style17" w:customStyle="1">
    <w:name w:val="Тема примечания Знак"/>
    <w:link w:val="a9"/>
    <w:uiPriority w:val="99"/>
    <w:semiHidden/>
    <w:qFormat/>
    <w:rsid w:val="006f13a9"/>
    <w:rPr>
      <w:rFonts w:ascii="Calibri" w:hAnsi="Calibri" w:eastAsia="Calibri" w:cs="Times New Roman"/>
      <w:b/>
      <w:bCs/>
      <w:sz w:val="20"/>
      <w:szCs w:val="20"/>
    </w:rPr>
  </w:style>
  <w:style w:type="character" w:styleId="Style18" w:customStyle="1">
    <w:name w:val="Текст выноски Знак"/>
    <w:link w:val="ab"/>
    <w:uiPriority w:val="99"/>
    <w:semiHidden/>
    <w:qFormat/>
    <w:rsid w:val="006f13a9"/>
    <w:rPr>
      <w:rFonts w:ascii="Tahoma" w:hAnsi="Tahoma" w:eastAsia="Calibri" w:cs="Tahoma"/>
      <w:sz w:val="16"/>
      <w:szCs w:val="16"/>
    </w:rPr>
  </w:style>
  <w:style w:type="character" w:styleId="FontStyle37" w:customStyle="1">
    <w:name w:val="Font Style37"/>
    <w:qFormat/>
    <w:rsid w:val="00ad3b52"/>
    <w:rPr>
      <w:rFonts w:ascii="Times New Roman" w:hAnsi="Times New Roman" w:cs="Times New Roman"/>
      <w:sz w:val="26"/>
      <w:szCs w:val="26"/>
    </w:rPr>
  </w:style>
  <w:style w:type="character" w:styleId="FontStyle47" w:customStyle="1">
    <w:name w:val="Font Style47"/>
    <w:qFormat/>
    <w:rsid w:val="00ad3b52"/>
    <w:rPr>
      <w:rFonts w:ascii="Times New Roman" w:hAnsi="Times New Roman" w:cs="Times New Roman"/>
      <w:sz w:val="26"/>
      <w:szCs w:val="26"/>
    </w:rPr>
  </w:style>
  <w:style w:type="character" w:styleId="FontStyle49" w:customStyle="1">
    <w:name w:val="Font Style49"/>
    <w:qFormat/>
    <w:rsid w:val="00ad3b52"/>
    <w:rPr>
      <w:rFonts w:ascii="Times New Roman" w:hAnsi="Times New Roman" w:cs="Times New Roman"/>
      <w:sz w:val="26"/>
      <w:szCs w:val="26"/>
    </w:rPr>
  </w:style>
  <w:style w:type="character" w:styleId="Style19" w:customStyle="1">
    <w:name w:val="Основной текст с отступом Знак"/>
    <w:link w:val="af0"/>
    <w:uiPriority w:val="99"/>
    <w:semiHidden/>
    <w:qFormat/>
    <w:locked/>
    <w:rsid w:val="00037f40"/>
    <w:rPr>
      <w:rFonts w:ascii="TimesET" w:hAnsi="TimesET" w:eastAsia="Times New Roman"/>
      <w:sz w:val="28"/>
    </w:rPr>
  </w:style>
  <w:style w:type="character" w:styleId="1" w:customStyle="1">
    <w:name w:val="Основной текст с отступом Знак1"/>
    <w:uiPriority w:val="99"/>
    <w:semiHidden/>
    <w:qFormat/>
    <w:rsid w:val="00037f40"/>
    <w:rPr>
      <w:rFonts w:ascii="Calibri" w:hAnsi="Calibri" w:eastAsia="Calibri" w:cs="Times New Roman"/>
    </w:rPr>
  </w:style>
  <w:style w:type="character" w:styleId="Strong">
    <w:name w:val="Strong"/>
    <w:uiPriority w:val="22"/>
    <w:qFormat/>
    <w:rsid w:val="0056006c"/>
    <w:rPr>
      <w:b/>
      <w:bCs/>
    </w:rPr>
  </w:style>
  <w:style w:type="character" w:styleId="Style20" w:customStyle="1">
    <w:name w:val="Абзац списка Знак"/>
    <w:link w:val="ad"/>
    <w:uiPriority w:val="34"/>
    <w:qFormat/>
    <w:locked/>
    <w:rsid w:val="008a0993"/>
    <w:rPr>
      <w:sz w:val="22"/>
      <w:szCs w:val="22"/>
      <w:lang w:eastAsia="en-US"/>
    </w:rPr>
  </w:style>
  <w:style w:type="character" w:styleId="ListLabel1">
    <w:name w:val="ListLabel 1"/>
    <w:qFormat/>
    <w:rPr>
      <w:rFonts w:cs="Courier New"/>
    </w:rPr>
  </w:style>
  <w:style w:type="character" w:styleId="ListLabel2">
    <w:name w:val="ListLabel 2"/>
    <w:qFormat/>
    <w:rPr>
      <w:rFonts w:cs="Courier New"/>
    </w:rPr>
  </w:style>
  <w:style w:type="character" w:styleId="ListLabel3">
    <w:name w:val="ListLabel 3"/>
    <w:qFormat/>
    <w:rPr>
      <w:rFonts w:cs="Courier New"/>
    </w:rPr>
  </w:style>
  <w:style w:type="character" w:styleId="ListLabel4">
    <w:name w:val="ListLabel 4"/>
    <w:qFormat/>
    <w:rPr>
      <w:rFonts w:cs="Courier New"/>
    </w:rPr>
  </w:style>
  <w:style w:type="character" w:styleId="ListLabel5">
    <w:name w:val="ListLabel 5"/>
    <w:qFormat/>
    <w:rPr>
      <w:rFonts w:cs="Courier New"/>
    </w:rPr>
  </w:style>
  <w:style w:type="character" w:styleId="ListLabel6">
    <w:name w:val="ListLabel 6"/>
    <w:qFormat/>
    <w:rPr>
      <w:rFonts w:cs="Courier New"/>
    </w:rPr>
  </w:style>
  <w:style w:type="character" w:styleId="ListLabel7">
    <w:name w:val="ListLabel 7"/>
    <w:qFormat/>
    <w:rPr>
      <w:rFonts w:cs="Courier New"/>
    </w:rPr>
  </w:style>
  <w:style w:type="character" w:styleId="ListLabel8">
    <w:name w:val="ListLabel 8"/>
    <w:qFormat/>
    <w:rPr>
      <w:rFonts w:cs="Courier New"/>
    </w:rPr>
  </w:style>
  <w:style w:type="character" w:styleId="ListLabel9">
    <w:name w:val="ListLabel 9"/>
    <w:qFormat/>
    <w:rPr>
      <w:rFonts w:ascii="Times New Roman" w:hAnsi="Times New Roman"/>
      <w:sz w:val="24"/>
    </w:rPr>
  </w:style>
  <w:style w:type="character" w:styleId="ListLabel10">
    <w:name w:val="ListLabel 10"/>
    <w:qFormat/>
    <w:rPr>
      <w:rFonts w:ascii="Times New Roman" w:hAnsi="Times New Roman"/>
      <w:b/>
      <w:i w:val="false"/>
      <w:sz w:val="24"/>
    </w:rPr>
  </w:style>
  <w:style w:type="character" w:styleId="Style21">
    <w:name w:val="Символ сноски"/>
    <w:qFormat/>
    <w:rPr/>
  </w:style>
  <w:style w:type="character" w:styleId="Style22">
    <w:name w:val="Привязка концевой сноски"/>
    <w:rPr>
      <w:vertAlign w:val="superscript"/>
    </w:rPr>
  </w:style>
  <w:style w:type="character" w:styleId="Style23">
    <w:name w:val="Символ концевой сноски"/>
    <w:qFormat/>
    <w:rPr/>
  </w:style>
  <w:style w:type="paragraph" w:styleId="Style24">
    <w:name w:val="Заголовок"/>
    <w:basedOn w:val="Normal"/>
    <w:next w:val="Style25"/>
    <w:qFormat/>
    <w:pPr>
      <w:keepNext w:val="true"/>
      <w:spacing w:before="240" w:after="120"/>
    </w:pPr>
    <w:rPr>
      <w:rFonts w:ascii="Liberation Sans" w:hAnsi="Liberation Sans" w:eastAsia="Noto Sans CJK SC" w:cs="Lohit Devanagari"/>
      <w:sz w:val="28"/>
      <w:szCs w:val="28"/>
    </w:rPr>
  </w:style>
  <w:style w:type="paragraph" w:styleId="Style25">
    <w:name w:val="Body Text"/>
    <w:basedOn w:val="Normal"/>
    <w:pPr>
      <w:spacing w:lineRule="auto" w:line="276" w:before="0" w:after="140"/>
    </w:pPr>
    <w:rPr/>
  </w:style>
  <w:style w:type="paragraph" w:styleId="Style26">
    <w:name w:val="List"/>
    <w:basedOn w:val="Style25"/>
    <w:pPr/>
    <w:rPr>
      <w:rFonts w:cs="Lohit Devanagari"/>
    </w:rPr>
  </w:style>
  <w:style w:type="paragraph" w:styleId="Style27">
    <w:name w:val="Caption"/>
    <w:basedOn w:val="Normal"/>
    <w:qFormat/>
    <w:pPr>
      <w:suppressLineNumbers/>
      <w:spacing w:before="120" w:after="120"/>
    </w:pPr>
    <w:rPr>
      <w:rFonts w:cs="Lohit Devanagari"/>
      <w:i/>
      <w:iCs/>
      <w:sz w:val="24"/>
      <w:szCs w:val="24"/>
    </w:rPr>
  </w:style>
  <w:style w:type="paragraph" w:styleId="Style28">
    <w:name w:val="Указатель"/>
    <w:basedOn w:val="Normal"/>
    <w:qFormat/>
    <w:pPr>
      <w:suppressLineNumbers/>
    </w:pPr>
    <w:rPr>
      <w:rFonts w:cs="Lohit Devanagari"/>
    </w:rPr>
  </w:style>
  <w:style w:type="paragraph" w:styleId="NormalWeb">
    <w:name w:val="Normal (Web)"/>
    <w:basedOn w:val="Normal"/>
    <w:link w:val="a4"/>
    <w:uiPriority w:val="99"/>
    <w:unhideWhenUsed/>
    <w:qFormat/>
    <w:rsid w:val="006e6470"/>
    <w:pPr>
      <w:spacing w:lineRule="auto" w:line="240" w:beforeAutospacing="1" w:afterAutospacing="1"/>
    </w:pPr>
    <w:rPr>
      <w:rFonts w:ascii="Times New Roman" w:hAnsi="Times New Roman" w:eastAsia="Times New Roman"/>
      <w:sz w:val="24"/>
      <w:szCs w:val="24"/>
      <w:lang w:eastAsia="ru-RU"/>
    </w:rPr>
  </w:style>
  <w:style w:type="paragraph" w:styleId="Annotationtext">
    <w:name w:val="annotation text"/>
    <w:basedOn w:val="Normal"/>
    <w:link w:val="a8"/>
    <w:uiPriority w:val="99"/>
    <w:semiHidden/>
    <w:unhideWhenUsed/>
    <w:qFormat/>
    <w:rsid w:val="006f13a9"/>
    <w:pPr>
      <w:spacing w:lineRule="auto" w:line="240"/>
    </w:pPr>
    <w:rPr>
      <w:sz w:val="20"/>
      <w:szCs w:val="20"/>
    </w:rPr>
  </w:style>
  <w:style w:type="paragraph" w:styleId="Annotationsubject">
    <w:name w:val="annotation subject"/>
    <w:basedOn w:val="Annotationtext"/>
    <w:link w:val="aa"/>
    <w:uiPriority w:val="99"/>
    <w:semiHidden/>
    <w:unhideWhenUsed/>
    <w:qFormat/>
    <w:rsid w:val="006f13a9"/>
    <w:pPr/>
    <w:rPr>
      <w:b/>
      <w:bCs/>
    </w:rPr>
  </w:style>
  <w:style w:type="paragraph" w:styleId="BalloonText">
    <w:name w:val="Balloon Text"/>
    <w:basedOn w:val="Normal"/>
    <w:link w:val="ac"/>
    <w:uiPriority w:val="99"/>
    <w:semiHidden/>
    <w:unhideWhenUsed/>
    <w:qFormat/>
    <w:rsid w:val="006f13a9"/>
    <w:pPr>
      <w:spacing w:lineRule="auto" w:line="240" w:before="0" w:after="0"/>
    </w:pPr>
    <w:rPr>
      <w:rFonts w:ascii="Tahoma" w:hAnsi="Tahoma"/>
      <w:sz w:val="16"/>
      <w:szCs w:val="16"/>
    </w:rPr>
  </w:style>
  <w:style w:type="paragraph" w:styleId="ListParagraph">
    <w:name w:val="List Paragraph"/>
    <w:basedOn w:val="Normal"/>
    <w:link w:val="ae"/>
    <w:uiPriority w:val="34"/>
    <w:qFormat/>
    <w:rsid w:val="006f13a9"/>
    <w:pPr>
      <w:spacing w:before="0" w:after="200"/>
      <w:ind w:left="720" w:hanging="0"/>
      <w:contextualSpacing/>
    </w:pPr>
    <w:rPr/>
  </w:style>
  <w:style w:type="paragraph" w:styleId="Style29">
    <w:name w:val="Body Text Indent"/>
    <w:basedOn w:val="Normal"/>
    <w:link w:val="af"/>
    <w:uiPriority w:val="99"/>
    <w:semiHidden/>
    <w:unhideWhenUsed/>
    <w:rsid w:val="00037f40"/>
    <w:pPr>
      <w:tabs>
        <w:tab w:val="left" w:pos="643" w:leader="none"/>
      </w:tabs>
      <w:spacing w:lineRule="atLeast" w:line="360" w:before="0" w:after="0"/>
      <w:ind w:firstLine="482"/>
      <w:jc w:val="both"/>
    </w:pPr>
    <w:rPr>
      <w:rFonts w:ascii="TimesET" w:hAnsi="TimesET" w:eastAsia="Times New Roman"/>
      <w:sz w:val="28"/>
      <w:szCs w:val="20"/>
    </w:rPr>
  </w:style>
  <w:style w:type="paragraph" w:styleId="Style30">
    <w:name w:val="Footnote Text"/>
    <w:basedOn w:val="Normal"/>
    <w:pPr/>
    <w:rPr/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footnotes" Target="footnotes.xml"/><Relationship Id="rId5" Type="http://schemas.openxmlformats.org/officeDocument/2006/relationships/numbering" Target="numbering.xml"/><Relationship Id="rId6" Type="http://schemas.openxmlformats.org/officeDocument/2006/relationships/fontTable" Target="fontTable.xml"/><Relationship Id="rId7" Type="http://schemas.openxmlformats.org/officeDocument/2006/relationships/settings" Target="settings.xml"/><Relationship Id="rId8" Type="http://schemas.openxmlformats.org/officeDocument/2006/relationships/theme" Target="theme/theme1.xml"/><Relationship Id="rId9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GostTitle.XSL" StyleName="GOST - Title Sort"/>
</file>

<file path=customXml/itemProps1.xml><?xml version="1.0" encoding="utf-8"?>
<ds:datastoreItem xmlns:ds="http://schemas.openxmlformats.org/officeDocument/2006/customXml" ds:itemID="{9029271E-1BCD-4708-92FB-9BCA9AE22D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Application>LibreOffice/6.0.7.3$Linux_X86_64 LibreOffice_project/00m0$Build-3</Application>
  <Pages>18</Pages>
  <Words>4206</Words>
  <Characters>30497</Characters>
  <CharactersWithSpaces>34348</CharactersWithSpaces>
  <Paragraphs>399</Paragraphs>
  <Company>Krokoz™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2019-10-19T05:07:00Z</dcterms:created>
  <dc:creator>ilaltdinova</dc:creator>
  <dc:description/>
  <dc:language>ru-RU</dc:language>
  <cp:lastModifiedBy/>
  <dcterms:modified xsi:type="dcterms:W3CDTF">2020-07-14T10:41:27Z</dcterms:modified>
  <cp:revision>4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Company">
    <vt:lpwstr>Krokoz™</vt:lpwstr>
  </property>
  <property fmtid="{D5CDD505-2E9C-101B-9397-08002B2CF9AE}" pid="4" name="DocSecurity">
    <vt:i4>0</vt:i4>
  </property>
  <property fmtid="{D5CDD505-2E9C-101B-9397-08002B2CF9AE}" pid="5" name="HyperlinksChanged">
    <vt:bool>0</vt:bool>
  </property>
  <property fmtid="{D5CDD505-2E9C-101B-9397-08002B2CF9AE}" pid="6" name="LinksUpToDate">
    <vt:bool>0</vt:bool>
  </property>
  <property fmtid="{D5CDD505-2E9C-101B-9397-08002B2CF9AE}" pid="7" name="ScaleCrop">
    <vt:bool>0</vt:bool>
  </property>
  <property fmtid="{D5CDD505-2E9C-101B-9397-08002B2CF9AE}" pid="8" name="ShareDoc">
    <vt:bool>0</vt:bool>
  </property>
</Properties>
</file>