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media/image2.wmf" ContentType="image/x-wmf"/>
  <Override PartName="/word/media/image1.wmf" ContentType="image/x-wmf"/>
  <Override PartName="/word/footer1.xml" ContentType="application/vnd.openxmlformats-officedocument.wordprocessingml.footer+xml"/>
  <Override PartName="/word/footer3.xml" ContentType="application/vnd.openxmlformats-officedocument.wordprocessingml.footer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 w:before="0" w:after="0"/>
        <w:rPr/>
      </w:pPr>
      <w:r>
        <w:rPr>
          <w:rFonts w:eastAsia="Times New Roman" w:ascii="Times New Roman" w:hAnsi="Times New Roman"/>
          <w:sz w:val="24"/>
          <w:szCs w:val="24"/>
          <w:lang w:eastAsia="ru-RU"/>
        </w:rPr>
        <w:drawing>
          <wp:inline distT="0" distB="0" distL="0" distR="5080">
            <wp:extent cx="5748655" cy="9305925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930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lineRule="auto" w:line="240" w:before="0" w:after="0"/>
        <w:jc w:val="center"/>
        <w:rPr/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drawing>
          <wp:inline distT="0" distB="8255" distL="0" distR="0">
            <wp:extent cx="6119495" cy="8260080"/>
            <wp:effectExtent l="0" t="0" r="0" b="0"/>
            <wp:docPr id="2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6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spacing w:lineRule="auto" w:line="240" w:before="0" w:after="0"/>
        <w:jc w:val="center"/>
        <w:rPr/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>
      <w:pPr>
        <w:pStyle w:val="TOCHeading"/>
        <w:rPr/>
      </w:pPr>
      <w:r>
        <w:rPr/>
      </w:r>
    </w:p>
    <w:p>
      <w:pPr>
        <w:pStyle w:val="12"/>
        <w:tabs>
          <w:tab w:val="left" w:pos="440" w:leader="none"/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r>
        <w:fldChar w:fldCharType="begin"/>
      </w:r>
      <w:r>
        <w:rPr>
          <w:webHidden/>
          <w:rStyle w:val="Style22"/>
          <w:b/>
          <w:rFonts w:ascii="Times New Roman" w:hAnsi="Times New Roman"/>
        </w:rPr>
        <w:instrText> TOC \z \o "1-3" \u \h</w:instrText>
      </w:r>
      <w:r>
        <w:rPr>
          <w:webHidden/>
          <w:rStyle w:val="Style22"/>
          <w:b/>
          <w:rFonts w:ascii="Times New Roman" w:hAnsi="Times New Roman"/>
        </w:rPr>
        <w:fldChar w:fldCharType="separate"/>
      </w:r>
      <w:hyperlink w:anchor="_Toc5003212">
        <w:r>
          <w:rPr>
            <w:webHidden/>
            <w:rStyle w:val="Style22"/>
            <w:rFonts w:ascii="Times New Roman" w:hAnsi="Times New Roman"/>
            <w:b/>
          </w:rPr>
          <w:t>1.</w:t>
        </w:r>
        <w:r>
          <w:rPr>
            <w:rStyle w:val="Style22"/>
            <w:rFonts w:eastAsia="" w:cs="" w:cstheme="minorBidi" w:eastAsiaTheme="minorEastAsia"/>
            <w:b/>
            <w:lang w:eastAsia="ru-RU"/>
          </w:rPr>
          <w:tab/>
        </w:r>
        <w:r>
          <w:rPr>
            <w:rStyle w:val="Style22"/>
            <w:rFonts w:ascii="Times New Roman" w:hAnsi="Times New Roman"/>
            <w:b/>
          </w:rPr>
          <w:t>Назначение образовательного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_Toc5003212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4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3">
        <w:r>
          <w:rPr>
            <w:webHidden/>
            <w:rStyle w:val="Style22"/>
            <w:rFonts w:ascii="Times New Roman" w:hAnsi="Times New Roman"/>
            <w:b/>
          </w:rPr>
          <w:t>2.</w:t>
        </w:r>
        <w:r>
          <w:rPr>
            <w:rStyle w:val="Style22"/>
            <w:rFonts w:eastAsia="" w:cs="" w:cstheme="minorBidi" w:eastAsiaTheme="minorEastAsia"/>
            <w:b/>
            <w:lang w:eastAsia="ru-RU"/>
          </w:rPr>
          <w:tab/>
        </w:r>
        <w:r>
          <w:rPr>
            <w:rStyle w:val="Style22"/>
            <w:rFonts w:ascii="Times New Roman" w:hAnsi="Times New Roman"/>
            <w:b/>
          </w:rPr>
          <w:t>ХАРАКТЕРИСТИКА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_Toc5003213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4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4">
        <w:r>
          <w:rPr>
            <w:webHidden/>
            <w:rStyle w:val="Style22"/>
            <w:rFonts w:ascii="Times New Roman" w:hAnsi="Times New Roman"/>
            <w:b/>
          </w:rPr>
          <w:t>3.</w:t>
        </w:r>
        <w:r>
          <w:rPr>
            <w:rStyle w:val="Style22"/>
            <w:rFonts w:eastAsia="" w:cs="" w:cstheme="minorBidi" w:eastAsiaTheme="minorEastAsia"/>
            <w:b/>
            <w:lang w:eastAsia="ru-RU"/>
          </w:rPr>
          <w:tab/>
        </w:r>
        <w:r>
          <w:rPr>
            <w:rStyle w:val="Style22"/>
            <w:rFonts w:ascii="Times New Roman" w:hAnsi="Times New Roman"/>
            <w:b/>
          </w:rPr>
          <w:t>Структура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_Toc5003214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6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left" w:pos="440" w:leader="none"/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5">
        <w:r>
          <w:rPr>
            <w:webHidden/>
            <w:rStyle w:val="Style22"/>
            <w:rFonts w:ascii="Times New Roman" w:hAnsi="Times New Roman"/>
            <w:b/>
          </w:rPr>
          <w:t>4.</w:t>
        </w:r>
        <w:r>
          <w:rPr>
            <w:rStyle w:val="Style22"/>
            <w:rFonts w:eastAsia="" w:cs="" w:cstheme="minorBidi" w:eastAsiaTheme="minorEastAsia"/>
            <w:b/>
            <w:lang w:eastAsia="ru-RU"/>
          </w:rPr>
          <w:tab/>
        </w:r>
        <w:r>
          <w:rPr>
            <w:rStyle w:val="Style22"/>
            <w:rFonts w:ascii="Times New Roman" w:hAnsi="Times New Roman"/>
            <w:b/>
          </w:rPr>
          <w:t>Методические указания для обучающихся по освоению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_Toc5003215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6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6">
        <w:r>
          <w:rPr>
            <w:webHidden/>
            <w:rStyle w:val="Style22"/>
            <w:rFonts w:ascii="Times New Roman" w:hAnsi="Times New Roman"/>
            <w:b/>
          </w:rPr>
          <w:t>5. ПРОГРАММЫ ДИСЦИПЛИН МОДУЛЯ</w:t>
        </w:r>
        <w:r>
          <w:rPr>
            <w:webHidden/>
          </w:rPr>
          <w:fldChar w:fldCharType="begin"/>
        </w:r>
        <w:r>
          <w:rPr>
            <w:webHidden/>
          </w:rPr>
          <w:instrText>PAGEREF _Toc5003216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7</w:t>
        </w:r>
        <w:r>
          <w:rPr>
            <w:webHidden/>
          </w:rPr>
          <w:fldChar w:fldCharType="end"/>
        </w:r>
      </w:hyperlink>
    </w:p>
    <w:p>
      <w:pPr>
        <w:pStyle w:val="24"/>
        <w:tabs>
          <w:tab w:val="right" w:pos="9627" w:leader="dot"/>
        </w:tabs>
        <w:ind w:left="0" w:hanging="0"/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7">
        <w:r>
          <w:rPr>
            <w:webHidden/>
            <w:rStyle w:val="Style22"/>
            <w:rFonts w:ascii="Times New Roman" w:hAnsi="Times New Roman"/>
            <w:b/>
          </w:rPr>
          <w:t>5.1. ПРОГРАММА ДИСЦИПЛИНЫ «Дискретная математика»</w:t>
        </w:r>
        <w:r>
          <w:rPr>
            <w:webHidden/>
          </w:rPr>
          <w:fldChar w:fldCharType="begin"/>
        </w:r>
        <w:r>
          <w:rPr>
            <w:webHidden/>
          </w:rPr>
          <w:instrText>PAGEREF _Toc5003217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7</w:t>
        </w:r>
        <w:r>
          <w:rPr>
            <w:webHidden/>
          </w:rPr>
          <w:fldChar w:fldCharType="end"/>
        </w:r>
      </w:hyperlink>
    </w:p>
    <w:p>
      <w:pPr>
        <w:pStyle w:val="32"/>
        <w:tabs>
          <w:tab w:val="right" w:pos="9627" w:leader="dot"/>
        </w:tabs>
        <w:ind w:left="0" w:hanging="0"/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8">
        <w:r>
          <w:rPr>
            <w:webHidden/>
            <w:rStyle w:val="Style22"/>
            <w:rFonts w:eastAsia="Times New Roman" w:ascii="Times New Roman" w:hAnsi="Times New Roman"/>
            <w:b/>
            <w:lang w:eastAsia="ru-RU"/>
          </w:rPr>
          <w:t>5.2. ПРОГРАММА ДИСЦИПЛИНЫ «Основы микроавтоматики»</w:t>
        </w:r>
        <w:r>
          <w:rPr>
            <w:webHidden/>
          </w:rPr>
          <w:fldChar w:fldCharType="begin"/>
        </w:r>
        <w:r>
          <w:rPr>
            <w:webHidden/>
          </w:rPr>
          <w:instrText>PAGEREF _Toc5003218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10</w:t>
        </w:r>
        <w:r>
          <w:rPr>
            <w:webHidden/>
          </w:rPr>
          <w:fldChar w:fldCharType="end"/>
        </w:r>
      </w:hyperlink>
    </w:p>
    <w:p>
      <w:pPr>
        <w:pStyle w:val="32"/>
        <w:tabs>
          <w:tab w:val="right" w:pos="9627" w:leader="dot"/>
        </w:tabs>
        <w:ind w:left="0" w:hanging="0"/>
        <w:rPr>
          <w:rFonts w:ascii="Calibri" w:hAnsi="Calibri" w:eastAsia="" w:cs="" w:asciiTheme="minorHAnsi" w:cstheme="minorBidi" w:eastAsiaTheme="minorEastAsia" w:hAnsiTheme="minorHAnsi"/>
          <w:b/>
          <w:b/>
          <w:lang w:eastAsia="ru-RU"/>
        </w:rPr>
      </w:pPr>
      <w:hyperlink w:anchor="_Toc5003219">
        <w:r>
          <w:rPr>
            <w:webHidden/>
            <w:rStyle w:val="Style22"/>
            <w:rFonts w:eastAsia="Times New Roman" w:ascii="Times New Roman" w:hAnsi="Times New Roman"/>
            <w:b/>
            <w:lang w:eastAsia="ru-RU"/>
          </w:rPr>
          <w:t>5.3. ПРОГРАММА ДИСЦИПЛИНЫ «Основы микроэлектроники»</w:t>
        </w:r>
        <w:r>
          <w:rPr>
            <w:webHidden/>
          </w:rPr>
          <w:fldChar w:fldCharType="begin"/>
        </w:r>
        <w:r>
          <w:rPr>
            <w:webHidden/>
          </w:rPr>
          <w:instrText>PAGEREF _Toc5003219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15</w:t>
        </w:r>
        <w:r>
          <w:rPr>
            <w:webHidden/>
          </w:rPr>
          <w:fldChar w:fldCharType="end"/>
        </w:r>
      </w:hyperlink>
    </w:p>
    <w:p>
      <w:pPr>
        <w:pStyle w:val="12"/>
        <w:tabs>
          <w:tab w:val="right" w:pos="9627" w:leader="dot"/>
        </w:tabs>
        <w:rPr>
          <w:rFonts w:ascii="Calibri" w:hAnsi="Calibri" w:eastAsia="" w:cs="" w:asciiTheme="minorHAnsi" w:cstheme="minorBidi" w:eastAsiaTheme="minorEastAsia" w:hAnsiTheme="minorHAnsi"/>
          <w:lang w:eastAsia="ru-RU"/>
        </w:rPr>
      </w:pPr>
      <w:hyperlink w:anchor="_Toc5003220">
        <w:r>
          <w:rPr>
            <w:webHidden/>
            <w:rStyle w:val="Style22"/>
            <w:rFonts w:eastAsia="Times New Roman" w:ascii="Times New Roman" w:hAnsi="Times New Roman"/>
            <w:b/>
            <w:lang w:eastAsia="ru-RU"/>
          </w:rPr>
          <w:t>7. ПРОГРАММА ИТОГОВОЙ АТТЕСТАЦИИ</w:t>
        </w:r>
        <w:r>
          <w:rPr>
            <w:webHidden/>
          </w:rPr>
          <w:fldChar w:fldCharType="begin"/>
        </w:r>
        <w:r>
          <w:rPr>
            <w:webHidden/>
          </w:rPr>
          <w:instrText>PAGEREF _Toc5003220 \h</w:instrText>
        </w:r>
        <w:r>
          <w:rPr>
            <w:webHidden/>
          </w:rPr>
          <w:fldChar w:fldCharType="separate"/>
        </w:r>
        <w:r>
          <w:rPr>
            <w:rStyle w:val="Style22"/>
            <w:b/>
            <w:vanish w:val="false"/>
          </w:rPr>
          <w:tab/>
          <w:t>19</w:t>
        </w:r>
        <w:r>
          <w:rPr>
            <w:webHidden/>
          </w:rPr>
          <w:fldChar w:fldCharType="end"/>
        </w:r>
      </w:hyperlink>
    </w:p>
    <w:p>
      <w:pPr>
        <w:pStyle w:val="Normal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  <w:r>
        <w:rPr>
          <w:sz w:val="24"/>
          <w:szCs w:val="24"/>
          <w:rFonts w:ascii="Times New Roman" w:hAnsi="Times New Roman"/>
        </w:rPr>
        <w:fldChar w:fldCharType="end"/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  <w:r>
        <w:br w:type="page"/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200"/>
        <w:ind w:left="357" w:hanging="0"/>
        <w:jc w:val="center"/>
        <w:rPr>
          <w:rFonts w:ascii="Times New Roman" w:hAnsi="Times New Roman" w:cs="Times New Roman"/>
          <w:b w:val="false"/>
          <w:b w:val="false"/>
          <w:color w:val="auto"/>
          <w:sz w:val="24"/>
          <w:szCs w:val="24"/>
        </w:rPr>
      </w:pPr>
      <w:bookmarkStart w:id="0" w:name="_Toc5003212"/>
      <w:bookmarkStart w:id="1" w:name="_Toc480809174"/>
      <w:bookmarkStart w:id="2" w:name="_Toc480712670"/>
      <w:bookmarkStart w:id="3" w:name="_Toc467499926"/>
      <w:r>
        <w:rPr>
          <w:rFonts w:cs="Times New Roman" w:ascii="Times New Roman" w:hAnsi="Times New Roman"/>
          <w:color w:val="auto"/>
          <w:sz w:val="24"/>
          <w:szCs w:val="24"/>
        </w:rPr>
        <w:t>Назначение образовательного модуля</w:t>
      </w:r>
      <w:bookmarkEnd w:id="0"/>
      <w:bookmarkEnd w:id="1"/>
      <w:bookmarkEnd w:id="2"/>
      <w:bookmarkEnd w:id="3"/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модуль представляет предметный модуль к обязательному изучению для освоения бакалаврами направлений подготовки 44.03.05 «Педагогическое образование (с двумя профилями подготовки). В основу разработки модуля легли требования Профессионального стандарта педагога, ФГОС высшего образования и ФГОС общего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педагога и общекультурных и общепрофессиональных компетенций ФГОС высшего образования.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Согласно ФГОС ВО для направления подготовки 44.03.05 у бакалавров должны быть сформированы: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общекультурная компетенция ОК-6: способность  к самоорганизации и самообразованию; общекультурная компетенция ОК-3: способность использовать естественнонаучные и математические знания для ориентирования в современном информационном пространстве; профессиональная компетенция ПК-2: способность использовать современные методы и технологии обучения и диагностики.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«Техническое творчество» предназначен для формирования общекультурной и профессиональной компетенций в области естественнонаучного образования.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Выполнено согласование компетенций и трудовых действий, прописанных в профессиональном стандарте педагога, сформулированы образовательные результаты модуля.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в первом семестре четвертого курса.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основу проектирования модуля положен системный подход, который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>
        <w:rPr>
          <w:rFonts w:ascii="Times New Roman" w:hAnsi="Times New Roman"/>
          <w:bCs/>
          <w:sz w:val="24"/>
          <w:szCs w:val="24"/>
        </w:rPr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>
      <w:pPr>
        <w:pStyle w:val="Normal"/>
        <w:shd w:val="clear" w:color="auto" w:fill="FFFFFF"/>
        <w:spacing w:lineRule="auto" w:line="240" w:before="0" w:after="0"/>
        <w:jc w:val="both"/>
        <w:rPr>
          <w:rFonts w:ascii="Times New Roman" w:hAnsi="Times New Roman" w:eastAsia="Times New Roman"/>
          <w:i/>
          <w:i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В ходе освоения модуля студент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>
      <w:pPr>
        <w:pStyle w:val="Normal"/>
        <w:shd w:val="clear" w:color="auto" w:fill="FFFFFF"/>
        <w:spacing w:lineRule="auto" w:line="240" w:before="0" w:after="0"/>
        <w:jc w:val="center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200"/>
        <w:ind w:left="357" w:hanging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4" w:name="_Toc5003213"/>
      <w:bookmarkStart w:id="5" w:name="_Toc480809175"/>
      <w:bookmarkStart w:id="6" w:name="_Toc480712671"/>
      <w:bookmarkStart w:id="7" w:name="_Toc480705199"/>
      <w:r>
        <w:rPr>
          <w:rFonts w:cs="Times New Roman" w:ascii="Times New Roman" w:hAnsi="Times New Roman"/>
          <w:color w:val="auto"/>
          <w:sz w:val="24"/>
          <w:szCs w:val="24"/>
        </w:rPr>
        <w:t>ХАРАКТЕРИСТИКА МОДУЛЯ</w:t>
      </w:r>
      <w:bookmarkEnd w:id="4"/>
      <w:bookmarkEnd w:id="5"/>
      <w:bookmarkEnd w:id="6"/>
      <w:bookmarkEnd w:id="7"/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создать условия для подготовки студентов к профессиональной деятельности в области задач технического творчества. Способствовать формированию у студентов умений к методической деятельности в области физики и математике</w:t>
      </w:r>
      <w:r>
        <w:rPr>
          <w:rFonts w:eastAsia="Times New Roman" w:ascii="Times New Roman" w:hAnsi="Times New Roman"/>
          <w:color w:val="000000"/>
          <w:sz w:val="24"/>
          <w:szCs w:val="24"/>
          <w:lang w:eastAsia="ru-RU"/>
        </w:rPr>
        <w:t>.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Освоить курс дискретной математики</w:t>
      </w:r>
    </w:p>
    <w:p>
      <w:pPr>
        <w:pStyle w:val="Normal"/>
        <w:shd w:val="clear" w:color="auto" w:fill="FFFFFF"/>
        <w:tabs>
          <w:tab w:val="left" w:pos="1560" w:leader="none"/>
          <w:tab w:val="left" w:pos="4635" w:leader="none"/>
          <w:tab w:val="left" w:pos="6415" w:leader="underscor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Освоить курс по основам микроэлектроники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bottomFromText="0" w:horzAnchor="margin" w:leftFromText="180" w:rightFromText="180" w:tblpX="0" w:tblpY="178" w:topFromText="0" w:vertAnchor="text"/>
        <w:tblW w:w="5000" w:type="pct"/>
        <w:jc w:val="lef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3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802"/>
        <w:gridCol w:w="2350"/>
        <w:gridCol w:w="2270"/>
        <w:gridCol w:w="1971"/>
        <w:gridCol w:w="2244"/>
      </w:tblGrid>
      <w:tr>
        <w:trPr/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>
        <w:trPr>
          <w:trHeight w:val="4668" w:hRule="atLeast"/>
        </w:trPr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Cs/>
                <w:color w:val="333333"/>
                <w:sz w:val="24"/>
                <w:szCs w:val="24"/>
              </w:rPr>
              <w:t xml:space="preserve">Демонстрирует знания по дискретной математике и необходимые для осуществления профессиональной деятельности в соответствии с профессиональным стандартом и ФГОС ВО в области основного общего и среднего общего образования по профилю «Физика и математика» </w:t>
            </w:r>
          </w:p>
        </w:tc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ОК-3: способность использовать естественнонаучные и математические знания для ориентирования в современном информационном мире.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ОК-6: способность к самоорганизации и самообразованию.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ПК-2: способность использовать современные методы и технологии обучения и диагностики.</w:t>
            </w:r>
          </w:p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lineRule="auto" w:line="240" w:before="0" w:after="0"/>
              <w:rPr>
                <w:rFonts w:ascii="Times New Roman" w:hAnsi="Times New Roman"/>
                <w:iCs/>
                <w:color w:val="333333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333333"/>
                <w:sz w:val="24"/>
                <w:szCs w:val="24"/>
              </w:rPr>
              <w:t>модульная, проблемная, обучения в сотрудничестве, технологии дистанционного обучения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</w:tbl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rPr>
          <w:rFonts w:ascii="Times New Roman" w:hAnsi="Times New Roman" w:eastAsia="Times New Roman"/>
          <w:b/>
          <w:b/>
          <w:spacing w:val="-8"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sz w:val="24"/>
          <w:szCs w:val="24"/>
          <w:lang w:eastAsia="ru-RU"/>
        </w:rPr>
        <w:t>Руководитель: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Лапин Николай Иванович, к.ф.-м.н., доцент кафедры прикладной информатики и информационных технологий в образовании НГПУ им.К.Минина;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sz w:val="24"/>
          <w:szCs w:val="24"/>
          <w:lang w:eastAsia="ru-RU"/>
        </w:rPr>
        <w:t>Преподаватели: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Иорданский Михаил Анатольевич, д.ф.-м.н., профессор, профессор </w:t>
      </w:r>
      <w:r>
        <w:rPr>
          <w:rFonts w:ascii="Times New Roman" w:hAnsi="Times New Roman"/>
          <w:sz w:val="24"/>
          <w:szCs w:val="24"/>
        </w:rPr>
        <w:t>кафедры прикладной информатики и информационных технологий в образовании НГПУ им.К.Минина;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Шондин Юрий Геннадьевич, </w:t>
      </w: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к.ф.-м.н., доцент, доцент </w:t>
      </w:r>
      <w:r>
        <w:rPr>
          <w:rFonts w:ascii="Times New Roman" w:hAnsi="Times New Roman"/>
          <w:sz w:val="24"/>
          <w:szCs w:val="24"/>
        </w:rPr>
        <w:t>кафедры технологий сервиса и технологического образования НГПУ им.К.Минина;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Ревунов Сергей Евгеньевич, </w:t>
      </w: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к.ф.-м.н., доцент, доцент </w:t>
      </w:r>
      <w:r>
        <w:rPr>
          <w:rFonts w:ascii="Times New Roman" w:hAnsi="Times New Roman"/>
          <w:sz w:val="24"/>
          <w:szCs w:val="24"/>
        </w:rPr>
        <w:t>кафедры технологий сервиса и технологического образования НГПУ им.К.Минина;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Место модуля в ОПОП: модуль является предшествующим для следующих модулей: Основы теории поля, Подготовка физика-ученого, Подготовка учителя-предметника, для изучения данного модуля необходимы следующие компетенции:ОК-3, ОК-6, ПК-2.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>
      <w:pPr>
        <w:pStyle w:val="Normal"/>
        <w:shd w:val="clear" w:color="auto" w:fill="FFFFFF"/>
        <w:tabs>
          <w:tab w:val="left" w:pos="1123" w:leader="none"/>
        </w:tabs>
        <w:spacing w:lineRule="auto" w:line="240" w:before="0" w:after="0"/>
        <w:ind w:right="130" w:hanging="0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tbl>
      <w:tblPr>
        <w:tblW w:w="5000" w:type="pct"/>
        <w:jc w:val="left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0" w:type="dxa"/>
          <w:left w:w="32" w:type="dxa"/>
          <w:bottom w:w="0" w:type="dxa"/>
          <w:right w:w="40" w:type="dxa"/>
        </w:tblCellMar>
        <w:tblLook w:noVBand="0" w:val="0000" w:noHBand="0" w:lastColumn="0" w:firstColumn="0" w:lastRow="0" w:firstRow="0"/>
      </w:tblPr>
      <w:tblGrid>
        <w:gridCol w:w="7420"/>
        <w:gridCol w:w="2216"/>
      </w:tblGrid>
      <w:tr>
        <w:trPr>
          <w:trHeight w:val="410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>
        <w:trPr>
          <w:trHeight w:val="410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144/4</w:t>
            </w:r>
          </w:p>
        </w:tc>
      </w:tr>
      <w:tr>
        <w:trPr>
          <w:trHeight w:val="355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>
        <w:trPr>
          <w:trHeight w:val="428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>
        <w:trPr>
          <w:trHeight w:val="352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>
        <w:trPr>
          <w:trHeight w:val="352" w:hRule="exact"/>
        </w:trPr>
        <w:tc>
          <w:tcPr>
            <w:tcW w:w="7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2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color="auto" w:fill="FFFFFF" w:val="clear"/>
          </w:tcPr>
          <w:p>
            <w:pPr>
              <w:pStyle w:val="Normal"/>
              <w:shd w:val="clear" w:color="auto" w:fill="FFFFFF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>
      <w:pPr>
        <w:sectPr>
          <w:footerReference w:type="default" r:id="rId4"/>
          <w:footerReference w:type="first" r:id="rId5"/>
          <w:type w:val="nextPage"/>
          <w:pgSz w:w="11906" w:h="16838"/>
          <w:pgMar w:left="1418" w:right="851" w:header="0" w:top="1134" w:footer="709" w:bottom="1134" w:gutter="0"/>
          <w:pgNumType w:fmt="decimal"/>
          <w:formProt w:val="false"/>
          <w:titlePg/>
          <w:textDirection w:val="lrTb"/>
          <w:docGrid w:type="default" w:linePitch="360" w:charSpace="4096"/>
        </w:sectPr>
      </w:pPr>
    </w:p>
    <w:p>
      <w:pPr>
        <w:pStyle w:val="1"/>
        <w:keepLines w:val="false"/>
        <w:numPr>
          <w:ilvl w:val="0"/>
          <w:numId w:val="2"/>
        </w:numPr>
        <w:spacing w:lineRule="auto" w:line="240" w:before="0" w:after="0"/>
        <w:ind w:left="357" w:hanging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8" w:name="_Toc5003214"/>
      <w:r>
        <w:rPr>
          <w:rFonts w:cs="Times New Roman" w:ascii="Times New Roman" w:hAnsi="Times New Roman"/>
          <w:color w:val="auto"/>
          <w:sz w:val="24"/>
          <w:szCs w:val="24"/>
        </w:rPr>
        <w:t>Структура модуля</w:t>
      </w:r>
      <w:bookmarkEnd w:id="8"/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502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jc w:val="center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Техническое творчество</w:t>
      </w: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  <w:t>»</w:t>
      </w:r>
    </w:p>
    <w:tbl>
      <w:tblPr>
        <w:tblW w:w="5000" w:type="pct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805"/>
        <w:gridCol w:w="3695"/>
        <w:gridCol w:w="802"/>
        <w:gridCol w:w="1510"/>
        <w:gridCol w:w="1397"/>
        <w:gridCol w:w="1257"/>
        <w:gridCol w:w="1118"/>
        <w:gridCol w:w="1117"/>
        <w:gridCol w:w="1256"/>
        <w:gridCol w:w="1610"/>
      </w:tblGrid>
      <w:tr>
        <w:trPr>
          <w:trHeight w:val="302" w:hRule="atLeast"/>
        </w:trPr>
        <w:tc>
          <w:tcPr>
            <w:tcW w:w="8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8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>
        <w:trPr/>
        <w:tc>
          <w:tcPr>
            <w:tcW w:w="80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36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2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</w:tr>
      <w:tr>
        <w:trPr/>
        <w:tc>
          <w:tcPr>
            <w:tcW w:w="80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36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80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5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11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1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25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numPr>
                <w:ilvl w:val="0"/>
                <w:numId w:val="1"/>
              </w:numPr>
              <w:tabs>
                <w:tab w:val="left" w:pos="600" w:leader="none"/>
              </w:tabs>
              <w:spacing w:lineRule="auto" w:line="240" w:before="0" w:after="0"/>
              <w:ind w:left="0" w:hanging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textAlignment w:val="baseline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Дискретная математика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2)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Основы микроавтоматики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Основы микроэлектроники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72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>
        <w:trPr/>
        <w:tc>
          <w:tcPr>
            <w:tcW w:w="1456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>
        <w:trPr/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3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Экзамены по модулю "Техническое творчество"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Э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cap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</w:tbl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sectPr>
          <w:footerReference w:type="default" r:id="rId6"/>
          <w:type w:val="nextPage"/>
          <w:pgSz w:orient="landscape" w:w="16838" w:h="11906"/>
          <w:pgMar w:left="1418" w:right="851" w:header="0" w:top="1134" w:footer="709" w:bottom="1134" w:gutter="0"/>
          <w:pgNumType w:fmt="decimal"/>
          <w:formProt w:val="false"/>
          <w:textDirection w:val="lrTb"/>
          <w:docGrid w:type="default" w:linePitch="360" w:charSpace="4096"/>
        </w:sectPr>
        <w:pStyle w:val="Normal"/>
        <w:shd w:val="clear" w:color="auto" w:fill="FFFFFF"/>
        <w:tabs>
          <w:tab w:val="left" w:pos="814" w:leader="none"/>
        </w:tabs>
        <w:spacing w:lineRule="auto" w:line="240" w:before="0" w:after="0"/>
        <w:ind w:left="1069" w:hanging="0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1"/>
        <w:keepLines w:val="false"/>
        <w:numPr>
          <w:ilvl w:val="0"/>
          <w:numId w:val="2"/>
        </w:numPr>
        <w:spacing w:lineRule="auto" w:line="240" w:before="0" w:after="0"/>
        <w:ind w:left="357" w:hanging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9" w:name="_Toc5003215"/>
      <w:r>
        <w:rPr>
          <w:rFonts w:cs="Times New Roman" w:ascii="Times New Roman" w:hAnsi="Times New Roman"/>
          <w:color w:val="auto"/>
          <w:sz w:val="24"/>
          <w:szCs w:val="24"/>
        </w:rPr>
        <w:t>Методические указания для обучающихся</w:t>
        <w:br/>
        <w:t>по освоению Модуля</w:t>
      </w:r>
      <w:bookmarkEnd w:id="9"/>
    </w:p>
    <w:p>
      <w:pPr>
        <w:pStyle w:val="ListParagraph"/>
        <w:widowControl w:val="false"/>
        <w:suppressAutoHyphens w:val="true"/>
        <w:spacing w:before="0" w:after="0"/>
        <w:ind w:left="360" w:hanging="0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cs="Times New Roman" w:ascii="Times New Roman" w:hAnsi="Times New Roman"/>
          <w:sz w:val="24"/>
          <w:szCs w:val="24"/>
          <w:lang w:eastAsia="ar-SA"/>
        </w:rPr>
        <w:t xml:space="preserve">1. Для эффективной организации самостоятельной работы необходимо зарегистрироваться в системе электронного обучения НГПУ </w:t>
      </w:r>
      <w:hyperlink r:id="rId7">
        <w:r>
          <w:rPr>
            <w:rStyle w:val="Style20"/>
            <w:rFonts w:cs="Times New Roman" w:ascii="Times New Roman" w:hAnsi="Times New Roman"/>
            <w:sz w:val="24"/>
            <w:szCs w:val="24"/>
            <w:lang w:eastAsia="ar-SA"/>
          </w:rPr>
          <w:t>https://ya.mininuniver.ru.</w:t>
        </w:r>
      </w:hyperlink>
      <w:r>
        <w:rPr>
          <w:rFonts w:cs="Times New Roman" w:ascii="Times New Roman" w:hAnsi="Times New Roman"/>
          <w:sz w:val="24"/>
          <w:szCs w:val="24"/>
          <w:lang w:eastAsia="ar-SA"/>
        </w:rPr>
        <w:t xml:space="preserve"> Здесь представлены все дисциплины модуля: теоретический материал, задания для лабораторных работ, необходимы еполезные ссылки, тесты и др.</w:t>
      </w:r>
    </w:p>
    <w:p>
      <w:pPr>
        <w:pStyle w:val="ListParagraph"/>
        <w:widowControl w:val="false"/>
        <w:suppressAutoHyphens w:val="true"/>
        <w:ind w:left="360" w:hanging="0"/>
        <w:jc w:val="both"/>
        <w:textAlignment w:val="baseline"/>
        <w:rPr>
          <w:rFonts w:ascii="Times New Roman" w:hAnsi="Times New Roman" w:cs="Times New Roman"/>
          <w:lang w:eastAsia="ar-SA"/>
        </w:rPr>
      </w:pPr>
      <w:r>
        <w:rPr>
          <w:rFonts w:cs="Times New Roman" w:ascii="Times New Roman" w:hAnsi="Times New Roman"/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лабораторная работа,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>
      <w:pPr>
        <w:pStyle w:val="ListParagraph"/>
        <w:widowControl w:val="false"/>
        <w:suppressAutoHyphens w:val="true"/>
        <w:ind w:left="360" w:right="-1" w:hanging="0"/>
        <w:jc w:val="both"/>
        <w:textAlignment w:val="baseline"/>
        <w:rPr>
          <w:rFonts w:ascii="Times New Roman" w:hAnsi="Times New Roman" w:cs="Times New Roman"/>
          <w:lang w:eastAsia="ar-SA"/>
        </w:rPr>
      </w:pPr>
      <w:r>
        <w:rPr>
          <w:rFonts w:cs="Times New Roman" w:ascii="Times New Roman" w:hAnsi="Times New Roman"/>
          <w:lang w:eastAsia="ar-SA"/>
        </w:rPr>
        <w:t>3.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>
      <w:pPr>
        <w:pStyle w:val="ListParagraph"/>
        <w:widowControl w:val="false"/>
        <w:suppressAutoHyphens w:val="true"/>
        <w:ind w:left="360" w:right="-1" w:hanging="0"/>
        <w:jc w:val="both"/>
        <w:textAlignment w:val="baseline"/>
        <w:rPr>
          <w:rFonts w:ascii="Times New Roman" w:hAnsi="Times New Roman" w:cs="Times New Roman"/>
          <w:lang w:eastAsia="ar-SA"/>
        </w:rPr>
      </w:pPr>
      <w:r>
        <w:rPr>
          <w:rFonts w:cs="Times New Roman" w:ascii="Times New Roman" w:hAnsi="Times New Roman"/>
          <w:lang w:eastAsia="ar-SA"/>
        </w:rPr>
        <w:t>4. При подготовке к лабораторному 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>
      <w:pPr>
        <w:pStyle w:val="ListParagraph"/>
        <w:widowControl w:val="false"/>
        <w:suppressAutoHyphens w:val="true"/>
        <w:ind w:left="360" w:right="-1" w:hanging="0"/>
        <w:jc w:val="both"/>
        <w:textAlignment w:val="baseline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  <w:lang w:eastAsia="ar-SA"/>
        </w:rPr>
        <w:t xml:space="preserve">5. </w:t>
      </w:r>
      <w:r>
        <w:rPr>
          <w:rFonts w:cs="Times New Roman" w:ascii="Times New Roman" w:hAnsi="Times New Roman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>
      <w:pPr>
        <w:pStyle w:val="ListParagraph"/>
        <w:ind w:left="360" w:right="-1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>
      <w:pPr>
        <w:pStyle w:val="ListParagraph"/>
        <w:ind w:left="360" w:right="-1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6. Промежуточный контроль по дисциплине «Информационные и коммуникационные технологии» – экзамен, по информатике и всем дисциплинам по выбору – зачет. Вопросы к зачетам и экзамену приведены в ЭУМК, кроме того предполагается итоговое тестирование.</w:t>
      </w:r>
    </w:p>
    <w:p>
      <w:pPr>
        <w:pStyle w:val="ListParagraph"/>
        <w:ind w:left="360" w:right="-1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 xml:space="preserve">7. </w:t>
      </w:r>
      <w:r>
        <w:rPr>
          <w:rFonts w:cs="Times New Roman" w:ascii="Times New Roman" w:hAnsi="Times New Roman"/>
          <w:spacing w:val="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>
        <w:rPr>
          <w:rFonts w:cs="Times New Roman" w:ascii="Times New Roman" w:hAnsi="Times New Roman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>
      <w:pPr>
        <w:pStyle w:val="ListParagraph"/>
        <w:ind w:left="360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8. По каждой дисциплине в ЭУМК приведен рейтинг-план дисциплины.</w:t>
      </w:r>
    </w:p>
    <w:p>
      <w:pPr>
        <w:pStyle w:val="ListParagraph"/>
        <w:ind w:left="360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На странице сайта Мининского университета «Рейтинговая система оценки качества подготовки студентов» 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</w:t>
      </w:r>
    </w:p>
    <w:p>
      <w:pPr>
        <w:pStyle w:val="ListParagraph"/>
        <w:numPr>
          <w:ilvl w:val="0"/>
          <w:numId w:val="2"/>
        </w:numPr>
        <w:rPr>
          <w:b/>
          <w:b/>
          <w:caps/>
        </w:rPr>
      </w:pPr>
      <w:r>
        <w:rPr>
          <w:b/>
          <w:caps/>
        </w:rPr>
      </w:r>
      <w:r>
        <w:br w:type="page"/>
      </w:r>
    </w:p>
    <w:p>
      <w:pPr>
        <w:pStyle w:val="Normal"/>
        <w:rPr/>
      </w:pPr>
      <w:r>
        <w:rPr/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/>
          <w:b/>
          <w:b/>
          <w:cap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caps/>
          <w:sz w:val="24"/>
          <w:szCs w:val="24"/>
          <w:lang w:eastAsia="ru-RU"/>
        </w:rPr>
      </w:r>
    </w:p>
    <w:p>
      <w:pPr>
        <w:pStyle w:val="1"/>
        <w:keepLines w:val="false"/>
        <w:spacing w:lineRule="auto" w:line="240" w:before="0" w:after="20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0" w:name="_Toc5003216"/>
      <w:r>
        <w:rPr>
          <w:rFonts w:cs="Times New Roman" w:ascii="Times New Roman" w:hAnsi="Times New Roman"/>
          <w:color w:val="auto"/>
          <w:sz w:val="24"/>
          <w:szCs w:val="24"/>
        </w:rPr>
        <w:t>5. ПРОГРАММЫ ДИСЦИПЛИН МОДУЛЯ</w:t>
      </w:r>
      <w:bookmarkEnd w:id="10"/>
    </w:p>
    <w:p>
      <w:pPr>
        <w:pStyle w:val="2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1" w:name="_Toc5003217"/>
      <w:r>
        <w:rPr>
          <w:rFonts w:cs="Times New Roman" w:ascii="Times New Roman" w:hAnsi="Times New Roman"/>
          <w:color w:val="auto"/>
          <w:sz w:val="24"/>
          <w:szCs w:val="24"/>
        </w:rPr>
        <w:t>5.1. ПРОГРАММА ДИСЦИПЛИНЫ</w:t>
        <w:br/>
        <w:t>«Дискретная математика»</w:t>
      </w:r>
      <w:bookmarkEnd w:id="11"/>
    </w:p>
    <w:p>
      <w:pPr>
        <w:pStyle w:val="Normal"/>
        <w:tabs>
          <w:tab w:val="left" w:pos="720" w:leader="none"/>
        </w:tabs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Курс «Дискретная математика» представляет собой специальные главы математики  и является естественным продолжением общего курса высшей математики. Он опирается на общий курс математики и имеет целью развить и укрепить отвечающее современной физике взгляды на основные математические понятия и факты, а также облегчить применение студентами математики при изучении специальных разделов теоретической физики и астрофизики. В курсе значительное внимание обращается на развитие правильной интуиции возможно больший показ рабочего аппарата, тогда как формальная полнота формулировок и доказательств не является самоцелью. По каждому из освещенных разделов курса систематически излагается необходимый минимум основных понятий, идей и их область приложения. В основном изложены разделы математики, к которым часто приходиться обращаться при решении различных задач физики.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Дисциплина «Дискретная математика» относится к базовой части дисциплин модуля «Техническое творчество».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«Дискретная математика» является необходимой основой для последующего изучения дисциплин, прохождения практики и итоговой аттестации.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>
      <w:pPr>
        <w:pStyle w:val="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Цель дисциплины</w:t>
      </w:r>
      <w:r>
        <w:rPr>
          <w:rFonts w:ascii="Times New Roman" w:hAnsi="Times New Roman"/>
          <w:sz w:val="24"/>
          <w:szCs w:val="24"/>
        </w:rPr>
        <w:t xml:space="preserve"> «Дискретная математика» в системе педагогического образования состоит в формировании у будущих учителей физики и математики представлений о проблематике дискретной математики, её особенностях и методах, ознакомлении с основными модельными объектами и связанными с ними актуальными прикладными задачами.</w:t>
      </w:r>
    </w:p>
    <w:p>
      <w:pPr>
        <w:pStyle w:val="Normal"/>
        <w:ind w:left="360" w:hanging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Задачи дисциплины: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сформировать представление о специфике задач дискретной математики;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с основными понятиями теории графов;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рассмотреть решения классических задач обхода и раскраски графов;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с основными способами задания и представления графов;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рассмотреть перечислительные методы комбинаторного анализа;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выработать умения и навыки решения рекуррентных соотношений.</w:t>
      </w:r>
    </w:p>
    <w:p>
      <w:pPr>
        <w:pStyle w:val="Normal"/>
        <w:numPr>
          <w:ilvl w:val="0"/>
          <w:numId w:val="3"/>
        </w:numPr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рассмотреть задачи выразимости и полноты в алгебре логики.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jc w:val="left"/>
        <w:tblInd w:w="-17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916"/>
        <w:gridCol w:w="2082"/>
        <w:gridCol w:w="1433"/>
        <w:gridCol w:w="2082"/>
        <w:gridCol w:w="1562"/>
        <w:gridCol w:w="1562"/>
      </w:tblGrid>
      <w:tr>
        <w:trPr>
          <w:trHeight w:val="385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>
        <w:trPr>
          <w:trHeight w:val="331" w:hRule="atLeast"/>
        </w:trPr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uppressAutoHyphens w:val="true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владение методами дискретного анализа в профессиональных исследованиях</w:t>
            </w:r>
          </w:p>
        </w:tc>
        <w:tc>
          <w:tcPr>
            <w:tcW w:w="14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Демонстрирует способность использовать основные законы дискретной математики в профессиональной деятельности.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ОК-3, ОК-6, ПК-2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 в ЭОС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jc w:val="left"/>
        <w:tblInd w:w="0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543"/>
        <w:gridCol w:w="833"/>
        <w:gridCol w:w="830"/>
        <w:gridCol w:w="1387"/>
        <w:gridCol w:w="1210"/>
        <w:gridCol w:w="834"/>
      </w:tblGrid>
      <w:tr>
        <w:trPr>
          <w:trHeight w:val="203" w:hRule="atLeast"/>
        </w:trPr>
        <w:tc>
          <w:tcPr>
            <w:tcW w:w="45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1. Элементы теории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1.1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Основные понятия теории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1.2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Задачи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обхода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1.3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Задачи раскраски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6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Способы задания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Тема 2.1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Матрицы и списки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Тема 2.2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Конструктивные описания графов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 Введение в комбинаторику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3.1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Основные операции и функции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3.2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Перечислительные методы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Функциональные построения в алгебре логики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4.1 </w:t>
            </w:r>
            <w:r>
              <w:rPr>
                <w:rFonts w:ascii="Times New Roman" w:hAnsi="Times New Roman"/>
                <w:sz w:val="24"/>
                <w:szCs w:val="24"/>
              </w:rPr>
              <w:t>Способы задания функций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4.2 </w:t>
            </w:r>
            <w:r>
              <w:rPr>
                <w:rFonts w:ascii="Times New Roman" w:hAnsi="Times New Roman"/>
                <w:sz w:val="24"/>
                <w:szCs w:val="24"/>
              </w:rPr>
              <w:t>Функциональная полнота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357" w:hRule="atLeast"/>
        </w:trPr>
        <w:tc>
          <w:tcPr>
            <w:tcW w:w="4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bookmarkStart w:id="12" w:name="_Toc5003218"/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>
      <w:pPr>
        <w:pStyle w:val="Normal"/>
        <w:tabs>
          <w:tab w:val="left" w:pos="160" w:leader="none"/>
          <w:tab w:val="left" w:pos="415" w:leader="none"/>
        </w:tabs>
        <w:spacing w:lineRule="auto" w:line="240"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Методы обучения: </w:t>
      </w:r>
      <w:r>
        <w:rPr>
          <w:rFonts w:ascii="Times New Roman" w:hAnsi="Times New Roman"/>
          <w:sz w:val="24"/>
          <w:szCs w:val="24"/>
        </w:rPr>
        <w:t>метод проблемного обучения, Частично-поисковый метод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Технологии обучения: </w:t>
      </w:r>
      <w:r>
        <w:rPr/>
        <w:t>модульная, проблемная, обучения в сотрудничестве, технологии дистанционного обучения.</w:t>
      </w:r>
    </w:p>
    <w:p>
      <w:pPr>
        <w:pStyle w:val="BodyTextIndent2"/>
        <w:spacing w:lineRule="auto" w:line="240" w:before="0" w:after="0"/>
        <w:ind w:left="0" w:hanging="0"/>
        <w:jc w:val="both"/>
        <w:rPr>
          <w:b/>
          <w:b/>
        </w:rPr>
      </w:pPr>
      <w:r>
        <w:rPr>
          <w:b/>
        </w:rPr>
        <w:t xml:space="preserve">Формы обучения: </w:t>
      </w:r>
      <w:r>
        <w:rPr/>
        <w:t>индивидуальная, групповая.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1. </w:t>
            </w:r>
            <w:r>
              <w:rPr>
                <w:rFonts w:ascii="Times New Roman" w:hAnsi="Times New Roman"/>
                <w:b/>
              </w:rPr>
              <w:t>Элементы теории графов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eastAsia="Times New Roman" w:ascii="Times New Roman" w:hAnsi="Times New Roman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Контрольное тестирование по разделу 1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Тестовый контроль по разделу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0,3-0.5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2.</w:t>
            </w:r>
            <w:r>
              <w:rPr>
                <w:rFonts w:eastAsia="Times New Roman" w:ascii="Times New Roman" w:hAnsi="Times New Roman"/>
                <w:b/>
                <w:bCs/>
                <w:color w:val="000000"/>
                <w:lang w:eastAsia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Способы задания графов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eastAsia="Times New Roman" w:ascii="Times New Roman" w:hAnsi="Times New Roman"/>
                <w:lang w:val="en-US"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1,5-2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3. </w:t>
            </w:r>
            <w:r>
              <w:rPr>
                <w:rFonts w:ascii="Times New Roman" w:hAnsi="Times New Roman"/>
                <w:b/>
              </w:rPr>
              <w:t>Введение в комбинаторику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Контрольное тестирование по разделам 2 и 3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Тестовый контроль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0,3-0,5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20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4.  </w:t>
            </w:r>
            <w:r>
              <w:rPr>
                <w:rFonts w:ascii="Times New Roman" w:hAnsi="Times New Roman"/>
                <w:b/>
                <w:bCs/>
              </w:rPr>
              <w:t>Функциональные построения в алгебре логики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Normal"/>
        <w:numPr>
          <w:ilvl w:val="0"/>
          <w:numId w:val="4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Редькин, Н.П. Дискретная математика : учебник / Н.П. Редькин. - Москва : Физматлит, 2009. - 263 с. - ISBN 978-5-9221-1093-8 ; То же [Электронный ресурс]. - URL: </w:t>
      </w:r>
      <w:hyperlink r:id="rId8">
        <w:r>
          <w:rPr>
            <w:rStyle w:val="Style20"/>
            <w:rFonts w:ascii="Times New Roman" w:hAnsi="Times New Roman"/>
            <w:color w:val="006CA1"/>
            <w:sz w:val="24"/>
            <w:szCs w:val="24"/>
          </w:rPr>
          <w:t>http://biblioclub.ru/index.php?page=book&amp;id=75709</w:t>
        </w:r>
      </w:hyperlink>
    </w:p>
    <w:tbl>
      <w:tblPr>
        <w:tblW w:w="5000" w:type="pct"/>
        <w:jc w:val="left"/>
        <w:tblInd w:w="0" w:type="dxa"/>
        <w:tblBorders/>
        <w:tblCellMar>
          <w:top w:w="0" w:type="dxa"/>
          <w:left w:w="0" w:type="dxa"/>
          <w:bottom w:w="0" w:type="dxa"/>
          <w:right w:w="0" w:type="dxa"/>
        </w:tblCellMar>
        <w:tblLook w:noVBand="0" w:val="0000" w:noHBand="0" w:lastColumn="0" w:firstColumn="0" w:lastRow="0" w:firstRow="0"/>
      </w:tblPr>
      <w:tblGrid>
        <w:gridCol w:w="9638"/>
      </w:tblGrid>
      <w:tr>
        <w:trPr>
          <w:trHeight w:val="120" w:hRule="atLeast"/>
        </w:trPr>
        <w:tc>
          <w:tcPr>
            <w:tcW w:w="9638" w:type="dxa"/>
            <w:tcBorders/>
            <w:shd w:color="auto" w:fill="FFFFFF" w:val="clear"/>
            <w:vAlign w:val="center"/>
          </w:tcPr>
          <w:p>
            <w:pPr>
              <w:pStyle w:val="Normal"/>
              <w:numPr>
                <w:ilvl w:val="0"/>
                <w:numId w:val="4"/>
              </w:numPr>
              <w:tabs>
                <w:tab w:val="left" w:pos="567" w:leader="none"/>
              </w:tabs>
              <w:spacing w:lineRule="atLeast" w:line="120" w:before="0" w:after="0"/>
              <w:ind w:left="0"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color w:val="454545"/>
                <w:sz w:val="24"/>
                <w:szCs w:val="24"/>
              </w:rPr>
              <w:t>Судоплатов, С.В. Дискретная математика : учебник / С.В. Судоплатов, Е.В. Овчинникова. - 4-e изд. - Новосибирск : НГТУ, 2012. - 278 с. - (Учебники НГТУ). - ISBN 978-5-7782-1815-4 ; То же [Электронный ресурс]. - URL: </w:t>
            </w:r>
            <w:hyperlink r:id="rId9">
              <w:r>
                <w:rPr>
                  <w:rStyle w:val="Style20"/>
                  <w:rFonts w:ascii="Times New Roman" w:hAnsi="Times New Roman"/>
                  <w:color w:val="006CA1"/>
                  <w:sz w:val="24"/>
                  <w:szCs w:val="24"/>
                </w:rPr>
                <w:t>http://biblioclub.ru/index.php?page=book&amp;id=135675</w:t>
              </w:r>
            </w:hyperlink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.</w:t>
            </w:r>
          </w:p>
        </w:tc>
      </w:tr>
    </w:tbl>
    <w:p>
      <w:pPr>
        <w:pStyle w:val="Normal"/>
        <w:numPr>
          <w:ilvl w:val="0"/>
          <w:numId w:val="4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454545"/>
          <w:sz w:val="24"/>
          <w:szCs w:val="24"/>
        </w:rPr>
        <w:t>Бережной, В.В. Дискретная математика : учебное пособие / В.В. Бережной, А.В. Шапошников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2016. - 199 с. : ил. - Библиогр. в кн. ; То же [Электронный ресурс]. - URL: </w:t>
      </w:r>
      <w:hyperlink r:id="rId10">
        <w:r>
          <w:rPr>
            <w:rStyle w:val="Style20"/>
            <w:rFonts w:ascii="Times New Roman" w:hAnsi="Times New Roman"/>
            <w:color w:val="006CA1"/>
            <w:sz w:val="24"/>
            <w:szCs w:val="24"/>
          </w:rPr>
          <w:t>http://biblioclub.ru/index.php?page=book&amp;id=466802</w:t>
        </w:r>
      </w:hyperlink>
    </w:p>
    <w:p>
      <w:pPr>
        <w:pStyle w:val="Normal"/>
        <w:tabs>
          <w:tab w:val="left" w:pos="567" w:leader="none"/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>
      <w:pPr>
        <w:pStyle w:val="Normal"/>
        <w:numPr>
          <w:ilvl w:val="0"/>
          <w:numId w:val="5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Васильева, А.В. Дискретная математика : учебное пособие / А.В. Васильева, И.В. Шевелева ; Министерство образования и науки Российской Федерации, Сибирский Федеральный университет. - Красноярск : СФУ, 2016. - 128 с. : ил. - Библиогр.: с. 125 - ISBN 978-5-7638-3511-3 ; То же [Электронный ресурс]. - URL: </w:t>
      </w:r>
      <w:hyperlink r:id="rId11">
        <w:r>
          <w:rPr>
            <w:rStyle w:val="Style20"/>
            <w:rFonts w:ascii="Times New Roman" w:hAnsi="Times New Roman"/>
            <w:color w:val="006CA1"/>
            <w:sz w:val="24"/>
            <w:szCs w:val="24"/>
          </w:rPr>
          <w:t>http://biblioclub.ru/index.php?page=book&amp;id=497748</w:t>
        </w:r>
      </w:hyperlink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numPr>
          <w:ilvl w:val="0"/>
          <w:numId w:val="5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Style w:val="Rtxt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454545"/>
          <w:sz w:val="24"/>
          <w:szCs w:val="24"/>
        </w:rPr>
        <w:t>Дискретная математика : учебное пособие / И.П. Болодурина, Т.М. Отрыванкина, О.С. Арапова, Т.А. Огурцова ; Министерство образования и науки Российской Федерации, Оренбургский Государственный Университет. - Оренбург : ОГУ, 2016. - Ч. 1. - 108 с. - Библиогр. в кн. - ISBN 978-5-7410-1579-7 ; То же [Электронный ресурс]. - URL: </w:t>
      </w:r>
      <w:hyperlink r:id="rId12">
        <w:r>
          <w:rPr>
            <w:rStyle w:val="Style20"/>
            <w:rFonts w:ascii="Times New Roman" w:hAnsi="Times New Roman"/>
            <w:color w:val="006CA1"/>
            <w:sz w:val="24"/>
            <w:szCs w:val="24"/>
          </w:rPr>
          <w:t>http://biblioclub.ru/index.php?page=book&amp;id=467106</w:t>
        </w:r>
      </w:hyperlink>
      <w:r>
        <w:rPr>
          <w:rFonts w:ascii="Times New Roman" w:hAnsi="Times New Roman"/>
          <w:color w:val="454545"/>
          <w:sz w:val="24"/>
          <w:szCs w:val="24"/>
        </w:rPr>
        <w:t> </w:t>
      </w:r>
    </w:p>
    <w:p>
      <w:pPr>
        <w:pStyle w:val="Normal"/>
        <w:numPr>
          <w:ilvl w:val="0"/>
          <w:numId w:val="5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Иорданский М.А. Перечисление графов: методические указания. – Н.Новгород: НГПУ, 2000. – 12с.</w:t>
      </w:r>
    </w:p>
    <w:p>
      <w:pPr>
        <w:pStyle w:val="Normal"/>
        <w:numPr>
          <w:ilvl w:val="0"/>
          <w:numId w:val="5"/>
        </w:numPr>
        <w:tabs>
          <w:tab w:val="left" w:pos="567" w:leader="none"/>
        </w:tabs>
        <w:spacing w:lineRule="auto" w:line="240"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Иорданский М.А. Конструктивные описания и экономное кодирование графов: методические разработки. –  Н.Новгород: НГПУ, 1998. – 18с.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9571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0" w:val="00a0" w:noHBand="0" w:lastColumn="0" w:firstColumn="1" w:lastRow="0" w:firstRow="1"/>
      </w:tblPr>
      <w:tblGrid>
        <w:gridCol w:w="2943"/>
        <w:gridCol w:w="6627"/>
      </w:tblGrid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3">
              <w:r>
                <w:rPr>
                  <w:rStyle w:val="ListLabel30"/>
                  <w:rFonts w:ascii="Times New Roman" w:hAnsi="Times New Roman"/>
                  <w:sz w:val="24"/>
                  <w:szCs w:val="24"/>
                </w:rPr>
                <w:t>www.biblioclub.ru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4">
              <w:r>
                <w:rPr>
                  <w:rStyle w:val="ListLabel30"/>
                  <w:rFonts w:ascii="Times New Roman" w:hAnsi="Times New Roman"/>
                  <w:sz w:val="24"/>
                  <w:szCs w:val="24"/>
                </w:rPr>
                <w:t>www.elibrary.ru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>
        <w:trPr/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5">
              <w:r>
                <w:rPr>
                  <w:rStyle w:val="ListLabel30"/>
                  <w:rFonts w:ascii="Times New Roman" w:hAnsi="Times New Roman"/>
                  <w:sz w:val="24"/>
                  <w:szCs w:val="24"/>
                </w:rPr>
                <w:t>www.ebiblioteka.ru</w:t>
              </w:r>
            </w:hyperlink>
          </w:p>
        </w:tc>
        <w:tc>
          <w:tcPr>
            <w:tcW w:w="6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Normal"/>
        <w:tabs>
          <w:tab w:val="left" w:pos="-1560" w:leader="none"/>
        </w:tabs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>
        <w:rPr>
          <w:rFonts w:ascii="Times New Roman" w:hAnsi="Times New Roman"/>
          <w:sz w:val="24"/>
          <w:szCs w:val="24"/>
          <w:lang w:val="en-US"/>
        </w:rPr>
        <w:t>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",  </w:t>
      </w:r>
      <w:r>
        <w:rPr>
          <w:rFonts w:ascii="Times New Roman" w:hAnsi="Times New Roman"/>
          <w:sz w:val="24"/>
          <w:szCs w:val="24"/>
          <w:lang w:val="en-US"/>
        </w:rPr>
        <w:t>Microsoft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Project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Professional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LMS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3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3" w:name="_Toc5003218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5.2. ПРОГРАММА ДИСЦИПЛИНЫ</w:t>
        <w:br/>
        <w:t>«Основы микроавтоматики»</w:t>
      </w:r>
      <w:bookmarkEnd w:id="13"/>
    </w:p>
    <w:p>
      <w:pPr>
        <w:pStyle w:val="ListParagraph"/>
        <w:numPr>
          <w:ilvl w:val="0"/>
          <w:numId w:val="6"/>
        </w:numPr>
        <w:tabs>
          <w:tab w:val="left" w:pos="0" w:leader="none"/>
          <w:tab w:val="left" w:pos="993" w:leader="none"/>
        </w:tabs>
        <w:spacing w:lineRule="auto" w:line="240" w:before="0" w:after="0"/>
        <w:contextualSpacing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Учебная программа дисциплины «Основы микроавтоматики» в рамках модуля «Техническое творчество» формирует знание принципов действия техники и законов природы, на которых они основаны. Ее представления, понятия и методы носят одновременно прикладной и фундаментальный  характер и лежат в основе естественнонаучной картины мира.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pacing w:val="-1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1"/>
          <w:sz w:val="24"/>
          <w:szCs w:val="24"/>
          <w:lang w:eastAsia="ru-RU"/>
        </w:rPr>
        <w:t>Освоение дисциплины подразумевает выполнение лабораторных работ, работ в электронной образовательной среде (ЭОС) для просмотра медиа-приложений, выполнения контрольно-тестовых заданий, выполнения практических заданий, сбор материалов и др. Изучение данной дисциплины завершается экзаменом.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p>
      <w:pPr>
        <w:pStyle w:val="Normal"/>
        <w:numPr>
          <w:ilvl w:val="0"/>
          <w:numId w:val="6"/>
        </w:numPr>
        <w:spacing w:lineRule="auto" w:line="240" w:before="0" w:after="0"/>
        <w:ind w:left="993" w:hanging="284"/>
        <w:contextualSpacing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Место в структуре модуля</w:t>
      </w:r>
    </w:p>
    <w:p>
      <w:pPr>
        <w:pStyle w:val="Normal"/>
        <w:spacing w:before="0" w:after="0"/>
        <w:ind w:firstLine="72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Дисциплина «Основы микроавтоматики» относится к дисциплинам по выбору модуля «Техническое творчество».</w:t>
      </w:r>
    </w:p>
    <w:p>
      <w:pPr>
        <w:pStyle w:val="Normal"/>
        <w:tabs>
          <w:tab w:val="left" w:pos="1260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color w:val="1D1B11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Для освоения дисциплины </w:t>
      </w:r>
      <w:r>
        <w:rPr>
          <w:rFonts w:eastAsia="Times New Roman" w:ascii="Times New Roman" w:hAnsi="Times New Roman"/>
          <w:color w:val="1D1B11"/>
          <w:sz w:val="24"/>
          <w:szCs w:val="24"/>
          <w:lang w:eastAsia="ru-RU"/>
        </w:rPr>
        <w:t>студенты используют знания, умения и виды деятельности, сформированные в процессе изучения дисциплин «Информатика», «Информационные и коммуникационные технологии»,«Общая и экспериментальная физика», «Электричество и магнетизм», «Физика твердого тела», «Электрорадиотехника».</w:t>
      </w:r>
    </w:p>
    <w:p>
      <w:pPr>
        <w:pStyle w:val="Normal"/>
        <w:tabs>
          <w:tab w:val="left" w:pos="1260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Освоение данной дисциплины является важным этапом получения физического образования для будущих преподавателей физики.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contextualSpacing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Цели и задачи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color w:val="1D1B11"/>
          <w:spacing w:val="-1"/>
          <w:sz w:val="24"/>
          <w:szCs w:val="24"/>
          <w:lang w:eastAsia="ru-RU"/>
        </w:rPr>
        <w:t xml:space="preserve">Цель </w:t>
      </w:r>
      <w:r>
        <w:rPr>
          <w:rFonts w:eastAsia="Times New Roman" w:ascii="Times New Roman" w:hAnsi="Times New Roman"/>
          <w:i/>
          <w:color w:val="1D1B11"/>
          <w:sz w:val="24"/>
          <w:szCs w:val="24"/>
          <w:lang w:eastAsia="ru-RU"/>
        </w:rPr>
        <w:t>дисциплины</w:t>
      </w:r>
      <w:r>
        <w:rPr>
          <w:rFonts w:eastAsia="Times New Roman" w:ascii="Times New Roman" w:hAnsi="Times New Roman"/>
          <w:color w:val="1D1B11"/>
          <w:sz w:val="24"/>
          <w:szCs w:val="24"/>
          <w:lang w:eastAsia="ru-RU"/>
        </w:rPr>
        <w:t>– сформировать у студентов будущих учителей физики систему знаний, умений и навыков в области микроэлектронной техники.</w:t>
      </w:r>
    </w:p>
    <w:p>
      <w:pPr>
        <w:pStyle w:val="Normal"/>
        <w:spacing w:before="0" w:after="0"/>
        <w:ind w:firstLine="72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>
      <w:pPr>
        <w:pStyle w:val="Normal"/>
        <w:spacing w:lineRule="auto" w:line="240" w:before="0" w:after="0"/>
        <w:ind w:left="714" w:hanging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ключевыми направлениями разработок современной микроэлектронной промышленности;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базовыми техническими основами современных интегральных микросхем;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особенностями работы простейших микроэлектронных приборов;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подготовить к методически грамотной организации и проведению учебных занятий в условиях широкого использования продуктов современной микроэлектронной промышленности в учебном заведении;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подготовить к эффективному применению продуктов микроэлектронной промышленности в учебном процессе.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contextualSpacing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>
      <w:pPr>
        <w:pStyle w:val="Normal"/>
        <w:shd w:val="clear" w:color="auto" w:fill="FFFFFF"/>
        <w:tabs>
          <w:tab w:val="left" w:pos="1123" w:leader="none"/>
        </w:tabs>
        <w:spacing w:before="0" w:after="200"/>
        <w:ind w:left="644" w:right="130" w:hanging="0"/>
        <w:contextualSpacing/>
        <w:jc w:val="both"/>
        <w:rPr>
          <w:rFonts w:ascii="Times New Roman" w:hAnsi="Times New Roman" w:eastAsia="Times New Roman"/>
          <w:color w:val="000000"/>
          <w:sz w:val="24"/>
          <w:szCs w:val="24"/>
        </w:rPr>
      </w:pPr>
      <w:r>
        <w:rPr>
          <w:rFonts w:eastAsia="Times New Roman" w:ascii="Times New Roman" w:hAnsi="Times New Roman"/>
          <w:color w:val="000000"/>
          <w:sz w:val="24"/>
          <w:szCs w:val="24"/>
        </w:rPr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831"/>
        <w:gridCol w:w="2605"/>
        <w:gridCol w:w="1102"/>
        <w:gridCol w:w="2265"/>
        <w:gridCol w:w="1031"/>
        <w:gridCol w:w="1513"/>
      </w:tblGrid>
      <w:tr>
        <w:trPr>
          <w:trHeight w:val="385" w:hRule="atLeast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 CYR" w:hAnsi="Times New Roman CYR" w:eastAsia="Times New Roman" w:cs="Times New Roman CYR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 CYR" w:hAnsi="Times New Roman CYR" w:eastAsia="Times New Roman" w:cs="Times New Roman CYR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>
        <w:trPr>
          <w:trHeight w:val="385" w:hRule="atLeast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i/>
                <w:i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Демонстрирует владение математическими навыками при решении прикладных задач 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ОК-3, ОК-6, ПК-2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9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275"/>
        <w:gridCol w:w="833"/>
        <w:gridCol w:w="833"/>
        <w:gridCol w:w="1384"/>
        <w:gridCol w:w="1108"/>
        <w:gridCol w:w="1107"/>
      </w:tblGrid>
      <w:tr>
        <w:trPr>
          <w:trHeight w:val="203" w:hRule="atLeast"/>
        </w:trPr>
        <w:tc>
          <w:tcPr>
            <w:tcW w:w="4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275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Аудиторнаяработа</w:t>
            </w:r>
          </w:p>
        </w:tc>
        <w:tc>
          <w:tcPr>
            <w:tcW w:w="13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8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7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275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Прак. занятия</w:t>
            </w:r>
          </w:p>
        </w:tc>
        <w:tc>
          <w:tcPr>
            <w:tcW w:w="1384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7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Основные положения и принципы микроэлектроники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1.1. Введение. Информационные технологии и электроника.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1.2. История развития микроэлектроники.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2. Основные полупроводниковые устройства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2.1. Собственные и примесные полупроводники, p-n переходы. 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2.2.Диоды: физические принципы, пробои, виды.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2.3.</w:t>
            </w:r>
            <w:r>
              <w:rPr>
                <w:rFonts w:ascii="Times New Roman" w:hAnsi="Times New Roman"/>
                <w:sz w:val="24"/>
                <w:szCs w:val="24"/>
              </w:rPr>
              <w:t>Биполярные т</w:t>
            </w: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ранзисторы: физические принципы работы транзистора.Принцип действия, характеристики.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2.4.Полевые транзисторы: физические принципы работы полевого транзистора. принцип действия, характеристики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2.5. Схемы соединения транзисторов. Понятия о микросхемах.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3. Логические элементы. Шифратор, дешифратор. Мультиплексор, демультиплексор.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3.1. Схемотехника элементов И-НЕ; ИЛИ-НЕ, И/ИЛИ-НЕ. Параметры логических элементов, интегральные триггеры, запоминающие устройства.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3.2. Исключающее ИЛИ. Триггерные схемы: RS, T, RST, JK, D.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3.3. Принцип работы шифратора, дешифратора, мультиплексора, демультиплексора.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4.</w:t>
            </w: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Полный одноразрядный двоичный сумматор. Принцип построения многоразрядных сумматоров.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4.1. Типовые функциональные узлы цифровой электроники. Одноразрядный двоичный сумматор.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4.2.</w:t>
            </w:r>
            <w:r>
              <w:rPr>
                <w:rFonts w:ascii="Times New Roman" w:hAnsi="Times New Roman"/>
                <w:sz w:val="24"/>
                <w:szCs w:val="24"/>
              </w:rPr>
              <w:t>Принцип построения многоразрядных сумматоров. Арифметико-логические устройства.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Раздел 5.Устройства памяти. Классификация запоминающих устройств.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5.1. Микросхемы, элементы, компоненты. Элементы конструкции микросхем.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5.2. Классификация микросхем. Принцип работы элементов памяти.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Раздел 6. Микропроцессоры – основа персональных компьютеров.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6.1. Микропроцессоры – основа ПК. История развития. Тактовая частота и принцип потактовой реализации команд, микрокоманды.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6.2. Реализация функции МП. Основные тенденции развития универсальных микропроцессоров.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>
      <w:pPr>
        <w:pStyle w:val="Normal"/>
        <w:spacing w:before="0" w:after="0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sz w:val="24"/>
          <w:szCs w:val="24"/>
          <w:lang w:eastAsia="ru-RU"/>
        </w:rPr>
        <w:t>5.2.Методы обучения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При изучении дисциплины рекомендуется применение технологии проблемного обучения, интерактивных технологий.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6. Рейтинг-план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1.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Основные положения и принципы микроэлектроники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2.</w:t>
            </w:r>
            <w:r>
              <w:rPr>
                <w:rFonts w:eastAsia="Times New Roman" w:ascii="Times New Roman" w:hAnsi="Times New Roman"/>
                <w:b/>
                <w:bCs/>
                <w:color w:val="000000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Основные полупроводниковые устройства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3. Логические элементы. Шифратор, дешифратор. Мультиплексор, демультиплексор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4.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Полный одноразрядный двоичный сумматор. Принцип построения многоразрядных сумматоров.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5.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Устройства памяти. Классификация запоминающих устройств.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6.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 xml:space="preserve"> Микропроцессоры – основа персональных компьютеров.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ОР.1-2-1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1,2-2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8"/>
        </w:numPr>
        <w:ind w:left="0" w:firstLine="709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Хапов, П.В. Технологическое оборудование автоматизированных производств : лабораторный практикум / П.В. Хапов, В.Д. Щепин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«Поволжский государственный технологический университет». - Йошкар-Ола : ПГТУ, 2012. - 125 с. : ил., табл. - Библиогр.: с. 111 ; То же [Электронный ресурс]. - URL: </w:t>
      </w:r>
      <w:hyperlink r:id="rId16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http://biblioclub.ru/index.php?page=book&amp;id=277040</w:t>
        </w:r>
      </w:hyperlink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ListParagraph"/>
        <w:numPr>
          <w:ilvl w:val="0"/>
          <w:numId w:val="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Топильский, В.Б. Cхемотехника аналого-цифровых преобразователей : учебное издание / В.Б. Топильский. - Москва : Техносфера, 2014. - 290 с. : ил., схем., табл. - (Мир электроники). - Библиогр. в кн. - ISBN 978-5-94836-383-7 ; То же [Электронный ресурс]. - URL: </w:t>
      </w:r>
      <w:hyperlink r:id="rId17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http://biblioclub.ru/index.php?page=book&amp;id=273796</w:t>
        </w:r>
      </w:hyperlink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>
      <w:pPr>
        <w:pStyle w:val="ListParagraph"/>
        <w:numPr>
          <w:ilvl w:val="0"/>
          <w:numId w:val="9"/>
        </w:numPr>
        <w:spacing w:lineRule="auto" w:line="360" w:before="0" w:after="12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Голых, Ю.Г. Метрология, стандартизация и сертификация. Lab VIEW: практикум по оценке результатов измерений : учебное пособие / Ю.Г. Голых, Т.И. Танкович ; Министерство образования и науки Российской Федерации, Сибирский Федеральный университет. - Красноярск : Сибирский федеральный университет, 2014. - 140 с. : ил., табл., схем. - Библиогр. в кн. - ISBN 978-5-7638-2927-3 ; То же [Электронный ресурс]. - URL: </w:t>
      </w:r>
      <w:hyperlink r:id="rId18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http://biblioclub.ru/index.php?page=book&amp;id=364557</w:t>
        </w:r>
      </w:hyperlink>
      <w:r>
        <w:rPr>
          <w:rFonts w:cs="Times New Roman" w:ascii="Times New Roman" w:hAnsi="Times New Roman"/>
          <w:sz w:val="24"/>
          <w:szCs w:val="24"/>
        </w:rPr>
        <w:t> </w:t>
      </w:r>
    </w:p>
    <w:p>
      <w:pPr>
        <w:pStyle w:val="ListParagraph"/>
        <w:numPr>
          <w:ilvl w:val="0"/>
          <w:numId w:val="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Баршутина, М.Н. Микромехатроника : учебное пособие / М.Н. Баршутина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2014. - 219 с. : ил., табл., схем. - Библиогр. в кн. - ISBN 978-5-8265-1293-7 ; То же [Электронный ресурс]. - URL: </w:t>
      </w:r>
      <w:hyperlink r:id="rId19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http://biblioclub.ru/index.php?page=book&amp;id=277779</w:t>
        </w:r>
      </w:hyperlink>
      <w:r>
        <w:rPr>
          <w:rFonts w:cs="Times New Roman" w:ascii="Times New Roman" w:hAnsi="Times New Roman"/>
          <w:sz w:val="24"/>
          <w:szCs w:val="24"/>
        </w:rPr>
        <w:t> </w:t>
      </w:r>
    </w:p>
    <w:p>
      <w:pPr>
        <w:pStyle w:val="ListParagraph"/>
        <w:numPr>
          <w:ilvl w:val="0"/>
          <w:numId w:val="9"/>
        </w:numPr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.Коновалец Л.С. Виртуальный компьютерный эксперимент в физическом практикуме. - Нижний Новгород, НГПУ, 2015. - 28 с.</w:t>
      </w:r>
    </w:p>
    <w:p>
      <w:pPr>
        <w:pStyle w:val="ListParagraph"/>
        <w:numPr>
          <w:ilvl w:val="0"/>
          <w:numId w:val="9"/>
        </w:numPr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</w:rPr>
        <w:t xml:space="preserve">Самойленко, А.П. Информационные технологии статистической обработки данных : учебное пособие / А.П. Самойленко, О.А. Усенко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 ; Таганрог : Издательство Южного федерального университета, 2017. - 127 с. : ил. - Библиогр. в кн. - ISBN 978-5-9275-2521-8 ; То же [Электронный ресурс]. - URL: </w:t>
      </w:r>
      <w:hyperlink r:id="rId20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http://biblioclub.ru/index.php?page=book&amp;id=500042</w:t>
        </w:r>
      </w:hyperlink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Arial" w:hAnsi="Arial" w:cs="Arial"/>
          <w:color w:val="454545"/>
          <w:sz w:val="23"/>
          <w:szCs w:val="23"/>
        </w:rPr>
      </w:pPr>
      <w:r>
        <w:rPr>
          <w:rFonts w:cs="Arial" w:ascii="Arial" w:hAnsi="Arial"/>
          <w:color w:val="454545"/>
          <w:sz w:val="23"/>
          <w:szCs w:val="23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hyperlink r:id="rId21" w:tgtFrame="_blank">
        <w:r>
          <w:rPr>
            <w:rStyle w:val="ListLabel32"/>
            <w:rFonts w:eastAsia="Times New Roman" w:ascii="Times New Roman" w:hAnsi="Times New Roman"/>
            <w:color w:val="0000FF"/>
            <w:sz w:val="24"/>
            <w:szCs w:val="24"/>
            <w:u w:val="single"/>
            <w:lang w:eastAsia="ru-RU"/>
          </w:rPr>
          <w:t>http://www.cqham.ru/lib.htm</w:t>
        </w:r>
      </w:hyperlink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- Библиотека радиолюбителя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hyperlink r:id="rId22">
        <w:r>
          <w:rPr>
            <w:rStyle w:val="Style20"/>
          </w:rPr>
          <w:t>http://www.ph4s.ru/book_electronika.html-</w:t>
        </w:r>
      </w:hyperlink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книги по электронике и микроэлектронике</w:t>
      </w:r>
    </w:p>
    <w:tbl>
      <w:tblPr>
        <w:tblW w:w="9360" w:type="dxa"/>
        <w:jc w:val="lef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2942"/>
        <w:gridCol w:w="6417"/>
      </w:tblGrid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biblioclub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www.elibrary.ru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Научная электронная библиотека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www.ebiblioteka.ru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8.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>
        <w:rPr>
          <w:rFonts w:ascii="Times New Roman" w:hAnsi="Times New Roman"/>
          <w:sz w:val="24"/>
          <w:szCs w:val="24"/>
          <w:lang w:val="en-US"/>
        </w:rPr>
        <w:t>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",  </w:t>
      </w:r>
      <w:r>
        <w:rPr>
          <w:rFonts w:ascii="Times New Roman" w:hAnsi="Times New Roman"/>
          <w:sz w:val="24"/>
          <w:szCs w:val="24"/>
          <w:lang w:val="en-US"/>
        </w:rPr>
        <w:t>Microsoft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Project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Professional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LMS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  <w:r>
        <w:br w:type="page"/>
      </w:r>
    </w:p>
    <w:p>
      <w:pPr>
        <w:pStyle w:val="3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4" w:name="_Toc5003219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5.3. ПРОГРАММА ДИСЦИПЛИНЫ</w:t>
        <w:br/>
        <w:t>«Основы микроэлектроники»</w:t>
      </w:r>
      <w:bookmarkEnd w:id="14"/>
    </w:p>
    <w:p>
      <w:pPr>
        <w:pStyle w:val="ListParagraph"/>
        <w:numPr>
          <w:ilvl w:val="0"/>
          <w:numId w:val="7"/>
        </w:numPr>
        <w:tabs>
          <w:tab w:val="left" w:pos="0" w:leader="none"/>
          <w:tab w:val="left" w:pos="993" w:leader="none"/>
        </w:tabs>
        <w:spacing w:lineRule="auto" w:line="240" w:before="0" w:after="0"/>
        <w:contextualSpacing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Учебная программа дисциплины «Основы микроэлектроники» в рамках модуля «Техническое творчество» формирует знание принципов действия микроэлектронных устройств и законов природы, на которых они основаны. Ее представления, понятия и методы носят одновременно прикладной и фундаментальный  характер и лежат в основе естественнонаучной картины мира.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  <w:t>В процессе обучения студенты знакомятся с физическими основами полупроводниковой микроэлектроники, получают представление об интегральных схемах, принципах построения микроэлектронных приборов и устройств. Отдельный раздел курса знакомит студентов с микропроцессорами как микроэлектронной основой современных ПК.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pacing w:val="-1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1"/>
          <w:sz w:val="24"/>
          <w:szCs w:val="24"/>
          <w:lang w:eastAsia="ru-RU"/>
        </w:rPr>
        <w:t>Освоение дисциплины подразумевает выполнение лабораторных работ, работ в электронной образовательной среде (ЭОС) для просмотра медиа-приложений, выполнения контрольно-тестовых заданий, выполнения практических заданий, сбор материалов и др. Изучение данной дисциплины завершается экзаменом.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sz w:val="24"/>
          <w:szCs w:val="24"/>
          <w:lang w:eastAsia="ru-RU"/>
        </w:rPr>
      </w:r>
    </w:p>
    <w:p>
      <w:pPr>
        <w:pStyle w:val="Normal"/>
        <w:numPr>
          <w:ilvl w:val="0"/>
          <w:numId w:val="7"/>
        </w:numPr>
        <w:spacing w:lineRule="auto" w:line="240" w:before="0" w:after="0"/>
        <w:ind w:left="993" w:hanging="284"/>
        <w:contextualSpacing/>
        <w:jc w:val="both"/>
        <w:rPr>
          <w:rFonts w:ascii="Times New Roman" w:hAnsi="Times New Roman" w:eastAsia="Times New Roman"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Место в структуре модуля</w:t>
      </w:r>
    </w:p>
    <w:p>
      <w:pPr>
        <w:pStyle w:val="Normal"/>
        <w:spacing w:before="0" w:after="0"/>
        <w:ind w:firstLine="72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Дисциплина «Основы микроэлектроники» относится к дисциплинам по выбору модуля «Техническое творчество».</w:t>
      </w:r>
    </w:p>
    <w:p>
      <w:pPr>
        <w:pStyle w:val="Normal"/>
        <w:tabs>
          <w:tab w:val="left" w:pos="1260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Для освоения дисциплины </w:t>
      </w:r>
      <w:r>
        <w:rPr>
          <w:rFonts w:eastAsia="Times New Roman" w:ascii="Times New Roman" w:hAnsi="Times New Roman"/>
          <w:color w:val="1D1B11"/>
          <w:sz w:val="24"/>
          <w:szCs w:val="24"/>
          <w:lang w:eastAsia="ru-RU"/>
        </w:rPr>
        <w:t>студенты используют знания, умения и виды деятельности, сформированные в процессе изучения дисциплин «Информатика», «Информационные и коммуникационные технологии»,«Общая и экспериментальная физика», «Электричество и магнетизм», «Физика твердого тела», «Электрорадиотехника».</w:t>
      </w:r>
    </w:p>
    <w:p>
      <w:pPr>
        <w:pStyle w:val="Normal"/>
        <w:spacing w:before="0" w:after="0"/>
        <w:ind w:firstLine="72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Освоение данной дисциплины является основой для последующего изучения дисциплин, «Основы работы микроэлектронных приборов</w:t>
      </w:r>
      <w:r>
        <w:rPr>
          <w:rFonts w:eastAsia="Times New Roman" w:ascii="Times New Roman" w:hAnsi="Times New Roman"/>
          <w:color w:val="000000" w:themeColor="text1"/>
          <w:sz w:val="24"/>
          <w:szCs w:val="24"/>
          <w:lang w:eastAsia="ru-RU"/>
        </w:rPr>
        <w:t>», «Основы микропроцессорной техники</w:t>
      </w:r>
      <w:r>
        <w:rPr>
          <w:rFonts w:eastAsia="Times New Roman" w:ascii="Times New Roman" w:hAnsi="Times New Roman"/>
          <w:sz w:val="24"/>
          <w:szCs w:val="24"/>
          <w:lang w:eastAsia="ru-RU"/>
        </w:rPr>
        <w:t>».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Цели и задачи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color w:val="1D1B11"/>
          <w:spacing w:val="-1"/>
          <w:sz w:val="24"/>
          <w:szCs w:val="24"/>
          <w:lang w:eastAsia="ru-RU"/>
        </w:rPr>
        <w:t xml:space="preserve">Цель </w:t>
      </w:r>
      <w:r>
        <w:rPr>
          <w:rFonts w:eastAsia="Times New Roman" w:ascii="Times New Roman" w:hAnsi="Times New Roman"/>
          <w:i/>
          <w:color w:val="1D1B11"/>
          <w:sz w:val="24"/>
          <w:szCs w:val="24"/>
          <w:lang w:eastAsia="ru-RU"/>
        </w:rPr>
        <w:t>дисциплины</w:t>
      </w:r>
      <w:r>
        <w:rPr>
          <w:rFonts w:eastAsia="Times New Roman" w:ascii="Times New Roman" w:hAnsi="Times New Roman"/>
          <w:color w:val="1D1B11"/>
          <w:sz w:val="24"/>
          <w:szCs w:val="24"/>
          <w:lang w:eastAsia="ru-RU"/>
        </w:rPr>
        <w:t>– сформировать у студентов будущих учителей физики систему знаний, умений и навыков в области физических основ микроэлектронной техники.</w:t>
      </w:r>
    </w:p>
    <w:p>
      <w:pPr>
        <w:pStyle w:val="Normal"/>
        <w:spacing w:before="0" w:after="0"/>
        <w:ind w:firstLine="72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>
      <w:pPr>
        <w:pStyle w:val="Normal"/>
        <w:spacing w:lineRule="auto" w:line="240" w:before="0" w:after="0"/>
        <w:ind w:left="714" w:hanging="0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ключевыми направлениями разработок современной микроэлектронной промышленности;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базовыми техническими основами современных интегральных микросхем;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ознакомить с особенностями работы простейших микроэлектронных приборов;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подготовить к методически грамотной организации и проведению учебных занятий в условиях широкого использования продуктов современной микроэлектронной промышленности в учебном заведении;</w:t>
      </w:r>
    </w:p>
    <w:p>
      <w:pPr>
        <w:pStyle w:val="Normal"/>
        <w:spacing w:lineRule="auto" w:line="240" w:before="0" w:after="0"/>
        <w:ind w:left="714" w:hanging="0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- подготовить к эффективному применению продуктов микроэлектронной промышленности в учебном процессе.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>
      <w:pPr>
        <w:pStyle w:val="Normal"/>
        <w:shd w:val="clear" w:color="auto" w:fill="FFFFFF"/>
        <w:tabs>
          <w:tab w:val="left" w:pos="1123" w:leader="none"/>
        </w:tabs>
        <w:spacing w:before="0" w:after="200"/>
        <w:ind w:left="644" w:right="130" w:hanging="0"/>
        <w:contextualSpacing/>
        <w:jc w:val="both"/>
        <w:rPr>
          <w:rFonts w:ascii="Times New Roman" w:hAnsi="Times New Roman" w:eastAsia="Times New Roman"/>
          <w:color w:val="000000"/>
          <w:sz w:val="24"/>
          <w:szCs w:val="24"/>
        </w:rPr>
      </w:pPr>
      <w:r>
        <w:rPr>
          <w:rFonts w:eastAsia="Times New Roman" w:ascii="Times New Roman" w:hAnsi="Times New Roman"/>
          <w:color w:val="000000"/>
          <w:sz w:val="24"/>
          <w:szCs w:val="24"/>
        </w:rPr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831"/>
        <w:gridCol w:w="2605"/>
        <w:gridCol w:w="1102"/>
        <w:gridCol w:w="2265"/>
        <w:gridCol w:w="1031"/>
        <w:gridCol w:w="1513"/>
      </w:tblGrid>
      <w:tr>
        <w:trPr>
          <w:trHeight w:val="385" w:hRule="atLeast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uppressAutoHyphens w:val="true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 CYR" w:hAnsi="Times New Roman CYR" w:eastAsia="Times New Roman" w:cs="Times New Roman CYR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 CYR" w:hAnsi="Times New Roman CYR" w:eastAsia="Times New Roman" w:cs="Times New Roman CYR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 CYR" w:ascii="Times New Roman CYR" w:hAnsi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>
        <w:trPr>
          <w:trHeight w:val="385" w:hRule="atLeast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i/>
                <w:i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tabs>
                <w:tab w:val="left" w:pos="318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ОР.1.3-1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Демонстрирует владение математическими навыками при решении прикладных задач </w:t>
            </w:r>
          </w:p>
        </w:tc>
        <w:tc>
          <w:tcPr>
            <w:tcW w:w="1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ОК-3, ОК-6, ПК-2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9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0" w:val="0000" w:noHBand="0" w:lastColumn="0" w:firstColumn="0" w:lastRow="0" w:firstRow="0"/>
      </w:tblPr>
      <w:tblGrid>
        <w:gridCol w:w="4275"/>
        <w:gridCol w:w="833"/>
        <w:gridCol w:w="833"/>
        <w:gridCol w:w="1384"/>
        <w:gridCol w:w="1108"/>
        <w:gridCol w:w="1107"/>
      </w:tblGrid>
      <w:tr>
        <w:trPr>
          <w:trHeight w:val="203" w:hRule="atLeast"/>
        </w:trPr>
        <w:tc>
          <w:tcPr>
            <w:tcW w:w="42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5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>
        <w:trPr>
          <w:trHeight w:val="533" w:hRule="atLeast"/>
        </w:trPr>
        <w:tc>
          <w:tcPr>
            <w:tcW w:w="4275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Аудиторнаяработа</w:t>
            </w:r>
          </w:p>
        </w:tc>
        <w:tc>
          <w:tcPr>
            <w:tcW w:w="13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tabs>
                <w:tab w:val="left" w:pos="814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8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7" w:type="dxa"/>
            <w:vMerge w:val="continue"/>
            <w:tcBorders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275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Прак. занятия</w:t>
            </w:r>
          </w:p>
        </w:tc>
        <w:tc>
          <w:tcPr>
            <w:tcW w:w="1384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7" w:type="dxa"/>
            <w:vMerge w:val="continue"/>
            <w:tcBorders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1.</w:t>
            </w: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Основные положения и принципы микроэлектроники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1.1. Введение. Информационные технологии и электроника.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1.2. История развития микроэлектроники.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2. Основные полупроводниковые устройства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 xml:space="preserve">Тема 2.1. Собственные и примесные полупроводники, p-n переходы. 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2.2.Диоды: физические принципы, пробои, виды.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2.3.</w:t>
            </w:r>
            <w:r>
              <w:rPr>
                <w:rFonts w:ascii="Times New Roman" w:hAnsi="Times New Roman"/>
                <w:sz w:val="24"/>
                <w:szCs w:val="24"/>
              </w:rPr>
              <w:t>Биполярные т</w:t>
            </w: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ранзисторы: физические принципы работы транзистора.Принцип действия, характеристики.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2.4.Полевые транзисторы: физические принципы работы полевого транзистора. принцип действия, характеристики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2.5. Схемы соединения транзисторов. Понятия о микросхемах.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3. Логические элементы. Шифратор, дешифратор. Мультиплексор, демультиплексор.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3.1. Схемотехника элементов И-НЕ; ИЛИ-НЕ, И/ИЛИ-НЕ. Параметры логических элементов, интегральные триггеры, запоминающие устройства.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3.2. Исключающее ИЛИ. Триггерные схемы: RS, T, RST, JK, D.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Cs/>
                <w:sz w:val="24"/>
                <w:szCs w:val="24"/>
                <w:lang w:eastAsia="ru-RU"/>
              </w:rPr>
              <w:t>Тема 3.3. Принцип работы шифратора, дешифратора, мультиплексора, демультиплексора.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Раздел 4.</w:t>
            </w: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Полный одноразрядный двоичный сумматор. Принцип построения многоразрядных сумматоров.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4.1. Типовые функциональные узлы цифровой электроники. Одноразрядный двоичный сумматор.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4.2.</w:t>
            </w:r>
            <w:r>
              <w:rPr>
                <w:rFonts w:ascii="Times New Roman" w:hAnsi="Times New Roman"/>
                <w:sz w:val="24"/>
                <w:szCs w:val="24"/>
              </w:rPr>
              <w:t>Принцип построения многоразрядных сумматоров. Арифметико-логические устройства.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Раздел 5.Устройства памяти. Классификация запоминающих устройств.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5.1. Микросхемы, элементы, компоненты. Элементы конструкции микросхем.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5.2. Классификация микросхем. Принцип работы элементов памяти.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Раздел 6. Микропроцессоры – основа персональных компьютеров.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6.1. Микропроцессоры – основа ПК. История развития. Тактовая частота и принцип потактовой реализации команд, микрокоманды.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Тема 6.2. Реализация функции МП. Основные тенденции развития универсальных микропроцессоров.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>
        <w:trPr>
          <w:trHeight w:val="1" w:hRule="atLeast"/>
        </w:trPr>
        <w:tc>
          <w:tcPr>
            <w:tcW w:w="4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right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  <w:lang w:eastAsia="ru-RU"/>
              </w:rPr>
            </w:r>
          </w:p>
        </w:tc>
        <w:tc>
          <w:tcPr>
            <w:tcW w:w="1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b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>
      <w:pPr>
        <w:pStyle w:val="Normal"/>
        <w:spacing w:before="0" w:after="0"/>
        <w:rPr>
          <w:rFonts w:ascii="Times New Roman" w:hAnsi="Times New Roman" w:eastAsia="Times New Roman"/>
          <w:bCs/>
          <w:i/>
          <w:i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i/>
          <w:i/>
          <w:sz w:val="24"/>
          <w:szCs w:val="24"/>
          <w:lang w:eastAsia="ru-RU"/>
        </w:rPr>
      </w:pPr>
      <w:bookmarkStart w:id="15" w:name="_Toc5003220"/>
      <w:r>
        <w:rPr>
          <w:rFonts w:eastAsia="Times New Roman" w:ascii="Times New Roman" w:hAnsi="Times New Roman"/>
          <w:i/>
          <w:sz w:val="24"/>
          <w:szCs w:val="24"/>
          <w:lang w:eastAsia="ru-RU"/>
        </w:rPr>
        <w:t>5.2.Методы обучения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z w:val="24"/>
          <w:szCs w:val="24"/>
          <w:lang w:eastAsia="ru-RU"/>
        </w:rPr>
        <w:t>При изучении дисциплины рекомендуется применение технологии проблемного обучения, интерактивных технологий.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ListParagraph"/>
        <w:numPr>
          <w:ilvl w:val="0"/>
          <w:numId w:val="7"/>
        </w:numPr>
        <w:spacing w:before="0" w:after="0"/>
        <w:contextualSpacing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4850" w:type="pct"/>
        <w:jc w:val="left"/>
        <w:tblInd w:w="109" w:type="dxa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CellMar>
          <w:top w:w="0" w:type="dxa"/>
          <w:left w:w="105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01"/>
        <w:gridCol w:w="1779"/>
        <w:gridCol w:w="1572"/>
        <w:gridCol w:w="75"/>
        <w:gridCol w:w="1508"/>
        <w:gridCol w:w="1247"/>
        <w:gridCol w:w="8"/>
        <w:gridCol w:w="830"/>
        <w:gridCol w:w="1"/>
        <w:gridCol w:w="963"/>
        <w:gridCol w:w="1"/>
        <w:gridCol w:w="962"/>
      </w:tblGrid>
      <w:tr>
        <w:trPr>
          <w:trHeight w:val="555" w:hRule="atLeast"/>
        </w:trPr>
        <w:tc>
          <w:tcPr>
            <w:tcW w:w="4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 xml:space="preserve">№ </w:t>
            </w: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17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2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Балл за конкретное задание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(</w:t>
            </w:r>
            <w:r>
              <w:rPr>
                <w:rFonts w:eastAsia="Times New Roman" w:ascii="Times New Roman" w:hAnsi="Times New Roman"/>
                <w:lang w:val="en-US" w:eastAsia="ru-RU"/>
              </w:rPr>
              <w:t>min</w:t>
            </w:r>
            <w:r>
              <w:rPr>
                <w:rFonts w:eastAsia="Times New Roman" w:ascii="Times New Roman" w:hAnsi="Times New Roman"/>
                <w:lang w:eastAsia="ru-RU"/>
              </w:rPr>
              <w:t>-</w:t>
            </w:r>
            <w:r>
              <w:rPr>
                <w:rFonts w:eastAsia="Times New Roman" w:ascii="Times New Roman" w:hAnsi="Times New Roman"/>
                <w:lang w:val="en-US" w:eastAsia="ru-RU"/>
              </w:rPr>
              <w:t>max</w:t>
            </w:r>
            <w:r>
              <w:rPr>
                <w:rFonts w:eastAsia="Times New Roman" w:ascii="Times New Roman" w:hAnsi="Times New Roman"/>
                <w:lang w:eastAsia="ru-RU"/>
              </w:rPr>
              <w:t>)</w:t>
            </w:r>
          </w:p>
        </w:tc>
        <w:tc>
          <w:tcPr>
            <w:tcW w:w="83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26" w:type="dxa"/>
            <w:gridSpan w:val="3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Баллы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</w:tr>
      <w:tr>
        <w:trPr>
          <w:trHeight w:val="555" w:hRule="atLeast"/>
        </w:trPr>
        <w:tc>
          <w:tcPr>
            <w:tcW w:w="401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vMerge w:val="continue"/>
            <w:tcBorders>
              <w:top w:val="single" w:sz="2" w:space="0" w:color="000000"/>
              <w:left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647" w:type="dxa"/>
            <w:gridSpan w:val="2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1508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247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color w:val="FF0000"/>
                <w:lang w:eastAsia="ru-RU"/>
              </w:rPr>
            </w:pPr>
            <w:r>
              <w:rPr>
                <w:rFonts w:eastAsia="Times New Roman" w:ascii="Times New Roman" w:hAnsi="Times New Roman"/>
                <w:color w:val="FF0000"/>
                <w:lang w:eastAsia="ru-RU"/>
              </w:rPr>
            </w:r>
          </w:p>
        </w:tc>
        <w:tc>
          <w:tcPr>
            <w:tcW w:w="839" w:type="dxa"/>
            <w:gridSpan w:val="3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val="en-US"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Мини-мальный</w:t>
            </w:r>
          </w:p>
        </w:tc>
        <w:tc>
          <w:tcPr>
            <w:tcW w:w="962" w:type="dxa"/>
            <w:tcBorders>
              <w:top w:val="single" w:sz="2" w:space="0" w:color="000000"/>
              <w:right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Макси-мальный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1.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Основные положения и принципы микроэлектроники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2.</w:t>
            </w:r>
            <w:r>
              <w:rPr>
                <w:rFonts w:eastAsia="Times New Roman" w:ascii="Times New Roman" w:hAnsi="Times New Roman"/>
                <w:b/>
                <w:bCs/>
                <w:color w:val="000000"/>
                <w:lang w:eastAsia="ru-RU"/>
              </w:rPr>
              <w:t xml:space="preserve"> </w:t>
            </w: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Основные полупроводниковые устройства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2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3. Логические элементы. Шифратор, дешифратор. Мультиплексор, демультиплексор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  <w:insideH w:val="single" w:sz="4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1,4-2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4.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Полный одноразрядный двоичный сумматор. Принцип построения многоразрядных сумматоров.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4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1,1-2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7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14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 xml:space="preserve">Раздел 5. 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>Устройства памяти. Классификация запоминающих устройств.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1,3-2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12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9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bCs/>
                <w:lang w:eastAsia="ru-RU"/>
              </w:rPr>
              <w:t>Раздел 6.</w:t>
            </w:r>
            <w:r>
              <w:rPr>
                <w:rFonts w:eastAsia="Times New Roman" w:ascii="Times New Roman" w:hAnsi="Times New Roman"/>
                <w:b/>
                <w:lang w:eastAsia="ru-RU"/>
              </w:rPr>
              <w:t xml:space="preserve"> Микропроцессоры – основа персональных компьютеров.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6</w:t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ОР.1-3-1</w:t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Выполнение практической работы</w:t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Оценка практической работы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1,2-2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8</w:t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16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Зачет</w:t>
            </w:r>
          </w:p>
        </w:tc>
        <w:tc>
          <w:tcPr>
            <w:tcW w:w="12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</w:t>
            </w:r>
          </w:p>
        </w:tc>
        <w:tc>
          <w:tcPr>
            <w:tcW w:w="963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30</w:t>
            </w:r>
          </w:p>
        </w:tc>
      </w:tr>
      <w:tr>
        <w:trPr>
          <w:trHeight w:val="300" w:hRule="atLeast"/>
        </w:trPr>
        <w:tc>
          <w:tcPr>
            <w:tcW w:w="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color="auto" w:fill="FFFFFF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1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</w:r>
          </w:p>
        </w:tc>
        <w:tc>
          <w:tcPr>
            <w:tcW w:w="31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color w:val="000000"/>
                <w:lang w:eastAsia="ru-RU"/>
              </w:rPr>
            </w:pPr>
            <w:r>
              <w:rPr>
                <w:rFonts w:eastAsia="Times New Roman" w:ascii="Times New Roman" w:hAnsi="Times New Roman"/>
                <w:color w:val="000000"/>
                <w:lang w:eastAsia="ru-RU"/>
              </w:rPr>
              <w:t>Итого:</w:t>
            </w:r>
          </w:p>
        </w:tc>
        <w:tc>
          <w:tcPr>
            <w:tcW w:w="2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</w:r>
          </w:p>
        </w:tc>
        <w:tc>
          <w:tcPr>
            <w:tcW w:w="964" w:type="dxa"/>
            <w:gridSpan w:val="2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55</w:t>
            </w:r>
          </w:p>
        </w:tc>
        <w:tc>
          <w:tcPr>
            <w:tcW w:w="96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  <w:insideH w:val="single" w:sz="2" w:space="0" w:color="000000"/>
              <w:insideV w:val="single" w:sz="2" w:space="0" w:color="000000"/>
            </w:tcBorders>
            <w:shd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/>
                <w:lang w:eastAsia="ru-RU"/>
              </w:rPr>
            </w:pPr>
            <w:r>
              <w:rPr>
                <w:rFonts w:eastAsia="Times New Roman" w:ascii="Times New Roman" w:hAnsi="Times New Roman"/>
                <w:lang w:eastAsia="ru-RU"/>
              </w:rPr>
              <w:t>100</w:t>
            </w:r>
          </w:p>
        </w:tc>
      </w:tr>
    </w:tbl>
    <w:p>
      <w:pPr>
        <w:pStyle w:val="Normal"/>
        <w:spacing w:before="0" w:after="0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>
      <w:pPr>
        <w:pStyle w:val="ListParagraph"/>
        <w:numPr>
          <w:ilvl w:val="0"/>
          <w:numId w:val="10"/>
        </w:numPr>
        <w:spacing w:lineRule="auto" w:line="240" w:before="0" w:after="0"/>
        <w:ind w:left="0" w:firstLine="709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Хапов, П.В. Технологическое оборудование автоматизированных производств : лабораторный практикум / П.В. Хапов, В.Д. Щепин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«Поволжский государственный технологический университет». - Йошкар-Ола : ПГТУ, 2012. - 125 с. : ил., табл. - Библиогр.: с. 111 ; То же [Электронный ресурс]. - URL: </w:t>
      </w:r>
      <w:hyperlink r:id="rId23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http://biblioclub.ru/index.php?page=book&amp;id=277040</w:t>
        </w:r>
      </w:hyperlink>
      <w:r>
        <w:rPr>
          <w:rFonts w:cs="Times New Roman" w:ascii="Times New Roman" w:hAnsi="Times New Roman"/>
          <w:sz w:val="24"/>
          <w:szCs w:val="24"/>
        </w:rPr>
        <w:t>.</w:t>
      </w:r>
    </w:p>
    <w:p>
      <w:pPr>
        <w:pStyle w:val="ListParagraph"/>
        <w:numPr>
          <w:ilvl w:val="0"/>
          <w:numId w:val="10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Топильский, В.Б. Cхемотехника аналого-цифровых преобразователей : учебное издание / В.Б. Топильский. - Москва : Техносфера, 2014. - 290 с. : ил., схем., табл. - (Мир электроники). - Библиогр. в кн. - ISBN 978-5-94836-383-7 ; То же [Электронный ресурс]. - URL: </w:t>
      </w:r>
      <w:hyperlink r:id="rId24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http://biblioclub.ru/index.php?page=book&amp;id=273796</w:t>
        </w:r>
      </w:hyperlink>
    </w:p>
    <w:p>
      <w:pPr>
        <w:pStyle w:val="ListParagraph"/>
        <w:spacing w:lineRule="auto" w:line="240" w:before="0" w:after="0"/>
        <w:ind w:left="709" w:hanging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>
      <w:pPr>
        <w:pStyle w:val="ListParagraph"/>
        <w:numPr>
          <w:ilvl w:val="0"/>
          <w:numId w:val="11"/>
        </w:numPr>
        <w:spacing w:lineRule="auto" w:line="240" w:before="0"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Голых, Ю.Г. Метрология, стандартизация и сертификация. Lab VIEW: практикум по оценке результатов измерений : учебное пособие / Ю.Г. Голых, Т.И. Танкович ; Министерство образования и науки Российской Федерации, Сибирский Федеральный университет. - Красноярск : Сибирский федеральный университет, 2014. - 140 с. : ил., табл., схем. - Библиогр. в кн. - ISBN 978-5-7638-2927-3 ; То же [Электронный ресурс]. - URL: </w:t>
      </w:r>
      <w:hyperlink r:id="rId25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http://biblioclub.ru/index.php?page=book&amp;id=364557</w:t>
        </w:r>
      </w:hyperlink>
      <w:r>
        <w:rPr>
          <w:rFonts w:cs="Times New Roman" w:ascii="Times New Roman" w:hAnsi="Times New Roman"/>
          <w:sz w:val="24"/>
          <w:szCs w:val="24"/>
        </w:rPr>
        <w:t> </w:t>
      </w:r>
    </w:p>
    <w:p>
      <w:pPr>
        <w:pStyle w:val="ListParagraph"/>
        <w:numPr>
          <w:ilvl w:val="0"/>
          <w:numId w:val="11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lineRule="auto" w:line="240" w:before="0"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Баршутина, М.Н. Микромехатроника : учебное пособие / М.Н. Баршутина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2014. - 219 с. : ил., табл., схем. - Библиогр. в кн. - ISBN 978-5-8265-1293-7 ; То же [Электронный ресурс]. - URL: </w:t>
      </w:r>
      <w:hyperlink r:id="rId26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http://biblioclub.ru/index.php?page=book&amp;id=277779</w:t>
        </w:r>
      </w:hyperlink>
      <w:r>
        <w:rPr>
          <w:rFonts w:cs="Times New Roman" w:ascii="Times New Roman" w:hAnsi="Times New Roman"/>
          <w:sz w:val="24"/>
          <w:szCs w:val="24"/>
        </w:rPr>
        <w:t> </w:t>
      </w:r>
    </w:p>
    <w:p>
      <w:pPr>
        <w:pStyle w:val="ListParagraph"/>
        <w:numPr>
          <w:ilvl w:val="0"/>
          <w:numId w:val="11"/>
        </w:numPr>
        <w:tabs>
          <w:tab w:val="left" w:pos="993" w:leader="none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.Коновалец Л.С. Виртуальный компьютерный эксперимент в физическом практикуме. - Нижний Новгород, НГПУ, 2015. - 28 с.</w:t>
      </w:r>
    </w:p>
    <w:p>
      <w:pPr>
        <w:pStyle w:val="ListParagraph"/>
        <w:numPr>
          <w:ilvl w:val="0"/>
          <w:numId w:val="11"/>
        </w:numPr>
        <w:tabs>
          <w:tab w:val="left" w:pos="993" w:leader="none"/>
        </w:tabs>
        <w:spacing w:lineRule="auto" w:line="240" w:before="0" w:after="0"/>
        <w:ind w:left="0"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cs="Times New Roman" w:ascii="Times New Roman" w:hAnsi="Times New Roman"/>
          <w:sz w:val="24"/>
          <w:szCs w:val="24"/>
        </w:rPr>
        <w:t xml:space="preserve">Самойленко, А.П. Информационные технологии статистической обработки данных : учебное пособие / А.П. Самойленко, О.А. Усенко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Инженерно-технологическая академия. - Ростов-на-Дону ; Таганрог : Издательство Южного федерального университета, 2017. - 127 с. : ил. - Библиогр. в кн. - ISBN 978-5-9275-2521-8 ; То же [Электронный ресурс]. - URL: </w:t>
      </w:r>
      <w:hyperlink r:id="rId27">
        <w:r>
          <w:rPr>
            <w:rStyle w:val="Style20"/>
            <w:rFonts w:cs="Times New Roman" w:ascii="Times New Roman" w:hAnsi="Times New Roman"/>
            <w:color w:val="auto"/>
            <w:sz w:val="24"/>
            <w:szCs w:val="24"/>
          </w:rPr>
          <w:t>http://biblioclub.ru/index.php?page=book&amp;id=500042</w:t>
        </w:r>
      </w:hyperlink>
    </w:p>
    <w:p>
      <w:pPr>
        <w:pStyle w:val="Normal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spacing w:before="0" w:after="0"/>
        <w:ind w:firstLine="709"/>
        <w:jc w:val="both"/>
        <w:rPr>
          <w:rFonts w:ascii="Times New Roman" w:hAnsi="Times New Roman" w:eastAsia="Times New Roman"/>
          <w:bCs/>
          <w:i/>
          <w:i/>
          <w:i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hyperlink r:id="rId28" w:tgtFrame="_blank">
        <w:r>
          <w:rPr>
            <w:rStyle w:val="ListLabel32"/>
            <w:rFonts w:eastAsia="Times New Roman" w:ascii="Times New Roman" w:hAnsi="Times New Roman"/>
            <w:color w:val="0000FF"/>
            <w:sz w:val="24"/>
            <w:szCs w:val="24"/>
            <w:u w:val="single"/>
            <w:lang w:eastAsia="ru-RU"/>
          </w:rPr>
          <w:t>http://www.cqham.ru/lib.htm</w:t>
        </w:r>
      </w:hyperlink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- Библиотека радиолюбителя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z w:val="24"/>
          <w:szCs w:val="24"/>
          <w:lang w:eastAsia="ru-RU"/>
        </w:rPr>
      </w:pPr>
      <w:hyperlink r:id="rId29">
        <w:r>
          <w:rPr>
            <w:rStyle w:val="Style20"/>
          </w:rPr>
          <w:t>http://www.ph4s.ru/book_electronika.html-</w:t>
        </w:r>
      </w:hyperlink>
      <w:r>
        <w:rPr>
          <w:rFonts w:eastAsia="Times New Roman" w:ascii="Times New Roman" w:hAnsi="Times New Roman"/>
          <w:sz w:val="24"/>
          <w:szCs w:val="24"/>
          <w:lang w:eastAsia="ru-RU"/>
        </w:rPr>
        <w:t xml:space="preserve"> книги по электронике и микроэлектронике</w:t>
      </w:r>
    </w:p>
    <w:tbl>
      <w:tblPr>
        <w:tblW w:w="9360" w:type="dxa"/>
        <w:jc w:val="lef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2942"/>
        <w:gridCol w:w="6417"/>
      </w:tblGrid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biblioclub</w:t>
            </w: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ЭБС «Университетская библиотека онлайн»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www.elibrary.ru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>Научная электронная библиотека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val="en-US"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val="en-US" w:eastAsia="ru-RU"/>
              </w:rPr>
              <w:t>www.ebiblioteka.ru</w:t>
            </w:r>
          </w:p>
        </w:tc>
        <w:tc>
          <w:tcPr>
            <w:tcW w:w="6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center" w:pos="4677" w:leader="none"/>
                <w:tab w:val="right" w:pos="9355" w:leader="none"/>
              </w:tabs>
              <w:spacing w:lineRule="auto" w:line="240" w:before="0" w:after="0"/>
              <w:rPr>
                <w:rFonts w:ascii="Times New Roman" w:hAnsi="Times New Roman"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  <w:lang w:eastAsia="ru-RU"/>
              </w:rPr>
              <w:t xml:space="preserve">Универсальные базы данных изданий 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spacing w:val="-4"/>
          <w:sz w:val="24"/>
          <w:szCs w:val="24"/>
          <w:lang w:eastAsia="ru-RU"/>
        </w:rPr>
      </w:pPr>
      <w:r>
        <w:rPr>
          <w:rFonts w:eastAsia="Times New Roman"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9.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bCs/>
          <w:sz w:val="24"/>
          <w:szCs w:val="24"/>
          <w:lang w:eastAsia="ru-RU"/>
        </w:rPr>
        <w:t>9.Материально-техническое обеспечение образовательного процесса по дисциплине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>
        <w:rPr>
          <w:rFonts w:ascii="Times New Roman" w:hAnsi="Times New Roman"/>
          <w:sz w:val="24"/>
          <w:szCs w:val="24"/>
          <w:lang w:val="en-US"/>
        </w:rPr>
        <w:t>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",  </w:t>
      </w:r>
      <w:r>
        <w:rPr>
          <w:rFonts w:ascii="Times New Roman" w:hAnsi="Times New Roman"/>
          <w:sz w:val="24"/>
          <w:szCs w:val="24"/>
          <w:lang w:val="en-US"/>
        </w:rPr>
        <w:t>Microsoft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Office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Project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Professional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en-US"/>
        </w:rPr>
        <w:t>LMS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Moodle</w:t>
      </w:r>
      <w:r>
        <w:rPr>
          <w:rFonts w:ascii="Times New Roman" w:hAnsi="Times New Roman"/>
          <w:sz w:val="24"/>
          <w:szCs w:val="24"/>
        </w:rPr>
        <w:t>.</w:t>
      </w:r>
      <w:bookmarkStart w:id="16" w:name="_GoBack"/>
      <w:bookmarkEnd w:id="16"/>
    </w:p>
    <w:p>
      <w:pPr>
        <w:pStyle w:val="1"/>
        <w:jc w:val="center"/>
        <w:rPr>
          <w:rFonts w:ascii="Times New Roman" w:hAnsi="Times New Roman" w:eastAsia="Times New Roman" w:cs="Times New Roman"/>
          <w:color w:val="auto"/>
          <w:sz w:val="24"/>
          <w:szCs w:val="24"/>
          <w:lang w:eastAsia="ru-RU"/>
        </w:rPr>
      </w:pPr>
      <w:bookmarkStart w:id="17" w:name="_Toc5003220"/>
      <w:r>
        <w:rPr>
          <w:rFonts w:eastAsia="Times New Roman" w:cs="Times New Roman" w:ascii="Times New Roman" w:hAnsi="Times New Roman"/>
          <w:color w:val="auto"/>
          <w:sz w:val="24"/>
          <w:szCs w:val="24"/>
          <w:lang w:eastAsia="ru-RU"/>
        </w:rPr>
        <w:t>7. ПРОГРАММА ИТОГОВОЙ АТТЕСТАЦИИ</w:t>
      </w:r>
      <w:bookmarkEnd w:id="17"/>
    </w:p>
    <w:p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>
      <w:pPr>
        <w:pStyle w:val="ListParagraph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tabs>
          <w:tab w:val="left" w:pos="1320" w:leader="none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tabs>
          <w:tab w:val="left" w:pos="1320" w:leader="none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= </w:t>
      </w:r>
      <w:r>
        <w:rPr/>
      </w:r>
      <m:oMath xmlns:m="http://schemas.openxmlformats.org/officeDocument/2006/math">
        <m:f>
          <m:num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r>
              <w:rPr>
                <w:rFonts w:ascii="Cambria Math" w:hAnsi="Cambria Math"/>
              </w:rPr>
              <m:t xml:space="preserve">…</m:t>
            </m:r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</m:sub>
            </m:sSub>
            <m:r>
              <w:rPr>
                <w:rFonts w:ascii="Cambria Math" w:hAnsi="Cambria Math"/>
              </w:rPr>
              <m:t xml:space="preserve">·</m:t>
            </m:r>
            <m:sSub>
              <m:e>
                <m:r>
                  <w:rPr>
                    <w:rFonts w:ascii="Cambria Math" w:hAnsi="Cambria Math"/>
                  </w:rPr>
                  <m:t xml:space="preserve">R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</m:sub>
            </m:sSub>
          </m:num>
          <m:den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2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3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r>
              <w:rPr>
                <w:rFonts w:ascii="Cambria Math" w:hAnsi="Cambria Math"/>
              </w:rPr>
              <m:t xml:space="preserve">…</m:t>
            </m:r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n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пр</m:t>
                </m:r>
              </m:sub>
            </m:sSub>
            <m:r>
              <w:rPr>
                <w:rFonts w:ascii="Cambria Math" w:hAnsi="Cambria Math"/>
              </w:rPr>
              <m:t xml:space="preserve">+</m:t>
            </m:r>
            <m:sSub>
              <m:e>
                <m:r>
                  <w:rPr>
                    <w:rFonts w:ascii="Cambria Math" w:hAnsi="Cambria Math"/>
                  </w:rPr>
                  <m:t xml:space="preserve">k</m:t>
                </m:r>
              </m:e>
              <m:sub>
                <m:r>
                  <w:rPr>
                    <w:rFonts w:ascii="Cambria Math" w:hAnsi="Cambria Math"/>
                  </w:rPr>
                  <m:t xml:space="preserve">кур</m:t>
                </m:r>
                <m:r>
                  <w:rPr>
                    <w:rFonts w:ascii="Cambria Math" w:hAnsi="Cambria Math"/>
                  </w:rPr>
                  <m:t xml:space="preserve">1</m:t>
                </m:r>
              </m:sub>
            </m:sSub>
          </m:den>
        </m:f>
      </m:oMath>
    </w:p>
    <w:p>
      <w:pPr>
        <w:pStyle w:val="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Где:</w:t>
      </w:r>
    </w:p>
    <w:p>
      <w:pPr>
        <w:pStyle w:val="Normal"/>
        <w:jc w:val="both"/>
        <w:rPr>
          <w:rFonts w:ascii="Times New Roman" w:hAnsi="Times New Roman"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–  рейтинговый балл студента </w:t>
      </w:r>
      <w:r>
        <w:rPr>
          <w:rFonts w:ascii="Times New Roman" w:hAnsi="Times New Roman"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по модулю;</w:t>
      </w:r>
    </w:p>
    <w:p>
      <w:pPr>
        <w:pStyle w:val="Normal"/>
        <w:jc w:val="both"/>
        <w:rPr>
          <w:rFonts w:ascii="Times New Roman" w:hAnsi="Times New Roman" w:eastAsia="" w:eastAsiaTheme="minorEastAsia"/>
          <w:sz w:val="24"/>
          <w:szCs w:val="24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1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2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>,…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n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 – зачетные единицы дисциплин, входящих в модуль, </w:t>
      </w:r>
    </w:p>
    <w:p>
      <w:pPr>
        <w:pStyle w:val="Normal"/>
        <w:jc w:val="both"/>
        <w:rPr>
          <w:rFonts w:ascii="Times New Roman" w:hAnsi="Times New Roman" w:eastAsia="" w:eastAsiaTheme="minorEastAsia"/>
          <w:sz w:val="24"/>
          <w:szCs w:val="24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пр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 – </w:t>
      </w:r>
      <w:r>
        <w:rPr>
          <w:rFonts w:eastAsia="" w:ascii="Times New Roman" w:hAnsi="Times New Roman" w:eastAsiaTheme="minorEastAsia"/>
          <w:sz w:val="24"/>
          <w:szCs w:val="24"/>
        </w:rPr>
        <w:t xml:space="preserve">зачетная единица по практике,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k</m:t>
            </m:r>
          </m:e>
          <m:sub>
            <m:r>
              <w:rPr>
                <w:rFonts w:ascii="Cambria Math" w:hAnsi="Cambria Math"/>
              </w:rPr>
              <m:t xml:space="preserve">кур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>–  зачетная единица по курсовой работе;</w:t>
      </w:r>
    </w:p>
    <w:p>
      <w:pPr>
        <w:pStyle w:val="Normal"/>
        <w:jc w:val="both"/>
        <w:rPr>
          <w:rFonts w:ascii="Times New Roman" w:hAnsi="Times New Roman"/>
          <w:sz w:val="24"/>
          <w:szCs w:val="24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1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2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, …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n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 – рейтинговые баллы студента по дисциплинам модуля,</w:t>
      </w:r>
    </w:p>
    <w:p>
      <w:pPr>
        <w:pStyle w:val="Normal"/>
        <w:jc w:val="both"/>
        <w:rPr>
          <w:rFonts w:ascii="Times New Roman" w:hAnsi="Times New Roman" w:eastAsia="" w:eastAsiaTheme="minorEastAsia"/>
          <w:sz w:val="24"/>
          <w:szCs w:val="24"/>
        </w:rPr>
      </w:pP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пр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, </w:t>
      </w:r>
      <w:r>
        <w:rPr/>
      </w:r>
      <m:oMath xmlns:m="http://schemas.openxmlformats.org/officeDocument/2006/math">
        <m:sSub>
          <m:e>
            <m:r>
              <w:rPr>
                <w:rFonts w:ascii="Cambria Math" w:hAnsi="Cambria Math"/>
              </w:rPr>
              <m:t xml:space="preserve">R</m:t>
            </m:r>
          </m:e>
          <m:sub>
            <m:r>
              <w:rPr>
                <w:rFonts w:ascii="Cambria Math" w:hAnsi="Cambria Math"/>
              </w:rPr>
              <m:t xml:space="preserve">кур</m:t>
            </m:r>
          </m:sub>
        </m:sSub>
      </m:oMath>
      <w:r>
        <w:rPr>
          <w:rFonts w:eastAsia="" w:ascii="Times New Roman" w:hAnsi="Times New Roman" w:eastAsiaTheme="minorEastAsia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>
      <w:pPr>
        <w:pStyle w:val="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Величина среднего рейтинга студента по модулю  лежит в пределах от 55 до 100 баллов.</w:t>
      </w:r>
    </w:p>
    <w:p>
      <w:pPr>
        <w:pStyle w:val="Normal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Times New Roman"/>
          <w:b/>
          <w:b/>
          <w:sz w:val="24"/>
          <w:szCs w:val="24"/>
          <w:lang w:eastAsia="ru-RU"/>
        </w:rPr>
      </w:pPr>
      <w:r>
        <w:rPr>
          <w:rFonts w:eastAsia="Times New Roman" w:ascii="Times New Roman" w:hAnsi="Times New Roman"/>
          <w:b/>
          <w:sz w:val="24"/>
          <w:szCs w:val="24"/>
          <w:lang w:eastAsia="ru-RU"/>
        </w:rPr>
      </w:r>
    </w:p>
    <w:p>
      <w:pPr>
        <w:pStyle w:val="2"/>
        <w:jc w:val="center"/>
        <w:rPr/>
      </w:pPr>
      <w:r>
        <w:rPr/>
      </w:r>
    </w:p>
    <w:sectPr>
      <w:footerReference w:type="default" r:id="rId30"/>
      <w:type w:val="nextPage"/>
      <w:pgSz w:w="11906" w:h="16838"/>
      <w:pgMar w:left="1134" w:right="1134" w:header="0" w:top="1134" w:footer="709" w:bottom="1134" w:gutter="0"/>
      <w:pgNumType w:start="6"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ambria">
    <w:charset w:val="01"/>
    <w:family w:val="roman"/>
    <w:pitch w:val="variable"/>
  </w:font>
  <w:font w:name="Tahoma">
    <w:charset w:val="01"/>
    <w:family w:val="roman"/>
    <w:pitch w:val="variable"/>
  </w:font>
  <w:font w:name="Times New Roman">
    <w:charset w:val="01"/>
    <w:family w:val="roman"/>
    <w:pitch w:val="variable"/>
  </w:font>
  <w:font w:name="Courier New">
    <w:charset w:val="01"/>
    <w:family w:val="roman"/>
    <w:pitch w:val="variable"/>
  </w:font>
  <w:font w:name="OfficinaSansC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 CYR">
    <w:charset w:val="01"/>
    <w:family w:val="roman"/>
    <w:pitch w:val="variable"/>
  </w:font>
  <w:font w:name="Arial">
    <w:charset w:val="01"/>
    <w:family w:val="roman"/>
    <w:pitch w:val="variable"/>
  </w:font>
  <w:font w:name="Symbol">
    <w:charset w:val="02"/>
    <w:family w:val="auto"/>
    <w:pitch w:val="default"/>
  </w:font>
  <w:font w:name="Times New Roman">
    <w:charset w:val="01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9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6</w:t>
    </w:r>
    <w:r>
      <w:rPr/>
      <w:fldChar w:fldCharType="end"/>
    </w:r>
  </w:p>
  <w:p>
    <w:pPr>
      <w:pStyle w:val="Style29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9"/>
      <w:jc w:val="right"/>
      <w:rPr/>
    </w:pPr>
    <w:r>
      <w:rPr/>
    </w:r>
  </w:p>
  <w:p>
    <w:pPr>
      <w:pStyle w:val="Style29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9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7</w:t>
    </w:r>
    <w:r>
      <w:rPr/>
      <w:fldChar w:fldCharType="end"/>
    </w:r>
  </w:p>
  <w:p>
    <w:pPr>
      <w:pStyle w:val="Style29"/>
      <w:rPr/>
    </w:pPr>
    <w:r>
      <w:rPr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9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20</w:t>
    </w:r>
    <w:r>
      <w:rPr/>
      <w:fldChar w:fldCharType="end"/>
    </w:r>
  </w:p>
  <w:p>
    <w:pPr>
      <w:pStyle w:val="Style29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rFonts w:cs="Times New Roman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  <w:rFonts w:cs="Times New Roman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  <w:rFonts w:cs="Times New Roman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rFonts w:cs="Times New Roman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  <w:rFonts w:cs="Times New Roman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  <w:rFonts w:cs="Times New Roman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  <w:rFonts w:cs="Times New Roman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  <w:rFonts w:cs="Times New Roman"/>
      </w:r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w="http://schemas.openxmlformats.org/wordprocessingml/2006/main">
  <w:zoom w:percent="9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0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uiPriority="11" w:semiHidden="0" w:unhideWhenUsed="0" w:qFormat="1"/>
    <w:lsdException w:name="Strong" w:uiPriority="22" w:semiHidden="0" w:unhideWhenUsed="0" w:qFormat="1"/>
    <w:lsdException w:name="Emphasis" w:uiPriority="0" w:semiHidden="0" w:unhideWhenUsed="0" w:qFormat="1"/>
    <w:lsdException w:name="Plain Text" w:uiPriority="0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f67cfb"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 w:asciiTheme="minorHAns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Normal"/>
    <w:link w:val="10"/>
    <w:qFormat/>
    <w:rsid w:val="007023a8"/>
    <w:pPr>
      <w:keepNext w:val="true"/>
      <w:keepLines/>
      <w:spacing w:before="480" w:after="0"/>
      <w:outlineLvl w:val="0"/>
    </w:pPr>
    <w:rPr>
      <w:rFonts w:ascii="Cambria" w:hAnsi="Cambria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Normal"/>
    <w:link w:val="20"/>
    <w:uiPriority w:val="9"/>
    <w:unhideWhenUsed/>
    <w:qFormat/>
    <w:rsid w:val="00b106de"/>
    <w:pPr>
      <w:keepNext w:val="true"/>
      <w:keepLines/>
      <w:spacing w:before="200" w:after="0"/>
      <w:outlineLvl w:val="1"/>
    </w:pPr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paragraph" w:styleId="3">
    <w:name w:val="Heading 3"/>
    <w:basedOn w:val="Normal"/>
    <w:link w:val="30"/>
    <w:uiPriority w:val="9"/>
    <w:unhideWhenUsed/>
    <w:qFormat/>
    <w:rsid w:val="00501893"/>
    <w:pPr>
      <w:keepNext w:val="true"/>
      <w:keepLines/>
      <w:spacing w:before="200" w:after="0"/>
      <w:outlineLvl w:val="2"/>
    </w:pPr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Абзац списка Знак"/>
    <w:link w:val="a4"/>
    <w:uiPriority w:val="34"/>
    <w:qFormat/>
    <w:locked/>
    <w:rsid w:val="000f605d"/>
    <w:rPr/>
  </w:style>
  <w:style w:type="character" w:styleId="Style12" w:customStyle="1">
    <w:name w:val="Текст выноски Знак"/>
    <w:basedOn w:val="DefaultParagraphFont"/>
    <w:link w:val="a6"/>
    <w:uiPriority w:val="99"/>
    <w:semiHidden/>
    <w:qFormat/>
    <w:rsid w:val="002508f5"/>
    <w:rPr>
      <w:rFonts w:ascii="Tahoma" w:hAnsi="Tahoma" w:eastAsia="Calibri" w:cs="Tahoma"/>
      <w:sz w:val="16"/>
      <w:szCs w:val="16"/>
    </w:rPr>
  </w:style>
  <w:style w:type="character" w:styleId="Style13" w:customStyle="1">
    <w:name w:val="Основной текст Знак"/>
    <w:basedOn w:val="DefaultParagraphFont"/>
    <w:link w:val="a8"/>
    <w:qFormat/>
    <w:rsid w:val="000748d4"/>
    <w:rPr>
      <w:rFonts w:ascii="Times New Roman" w:hAnsi="Times New Roman" w:eastAsia="Times New Roman" w:cs="Times New Roman"/>
      <w:sz w:val="28"/>
      <w:szCs w:val="20"/>
      <w:lang w:eastAsia="ru-RU"/>
    </w:rPr>
  </w:style>
  <w:style w:type="character" w:styleId="Style14">
    <w:name w:val="Выделение"/>
    <w:basedOn w:val="DefaultParagraphFont"/>
    <w:qFormat/>
    <w:rsid w:val="00074c40"/>
    <w:rPr>
      <w:i/>
      <w:iCs/>
    </w:rPr>
  </w:style>
  <w:style w:type="character" w:styleId="Style15" w:customStyle="1">
    <w:name w:val="Верхний колонтитул Знак"/>
    <w:basedOn w:val="DefaultParagraphFont"/>
    <w:link w:val="ac"/>
    <w:uiPriority w:val="99"/>
    <w:qFormat/>
    <w:rsid w:val="00ca7167"/>
    <w:rPr>
      <w:rFonts w:ascii="Calibri" w:hAnsi="Calibri" w:eastAsia="Calibri" w:cs="Times New Roman"/>
    </w:rPr>
  </w:style>
  <w:style w:type="character" w:styleId="Style16" w:customStyle="1">
    <w:name w:val="Нижний колонтитул Знак"/>
    <w:basedOn w:val="DefaultParagraphFont"/>
    <w:link w:val="ae"/>
    <w:uiPriority w:val="99"/>
    <w:qFormat/>
    <w:rsid w:val="00ca7167"/>
    <w:rPr>
      <w:rFonts w:ascii="Calibri" w:hAnsi="Calibri" w:eastAsia="Calibri" w:cs="Times New Roman"/>
    </w:rPr>
  </w:style>
  <w:style w:type="character" w:styleId="Annotationreference">
    <w:name w:val="annotation reference"/>
    <w:basedOn w:val="DefaultParagraphFont"/>
    <w:uiPriority w:val="99"/>
    <w:semiHidden/>
    <w:unhideWhenUsed/>
    <w:qFormat/>
    <w:rsid w:val="00892674"/>
    <w:rPr>
      <w:sz w:val="16"/>
      <w:szCs w:val="16"/>
    </w:rPr>
  </w:style>
  <w:style w:type="character" w:styleId="Style17" w:customStyle="1">
    <w:name w:val="Текст примечания Знак"/>
    <w:basedOn w:val="DefaultParagraphFont"/>
    <w:link w:val="af1"/>
    <w:uiPriority w:val="99"/>
    <w:semiHidden/>
    <w:qFormat/>
    <w:rsid w:val="00892674"/>
    <w:rPr>
      <w:rFonts w:ascii="Calibri" w:hAnsi="Calibri" w:eastAsia="Calibri" w:cs="Times New Roman"/>
      <w:sz w:val="20"/>
      <w:szCs w:val="20"/>
    </w:rPr>
  </w:style>
  <w:style w:type="character" w:styleId="Style18" w:customStyle="1">
    <w:name w:val="Тема примечания Знак"/>
    <w:basedOn w:val="Style17"/>
    <w:link w:val="af3"/>
    <w:uiPriority w:val="99"/>
    <w:semiHidden/>
    <w:qFormat/>
    <w:rsid w:val="00892674"/>
    <w:rPr>
      <w:rFonts w:ascii="Calibri" w:hAnsi="Calibri" w:eastAsia="Calibri" w:cs="Times New Roman"/>
      <w:b/>
      <w:bCs/>
      <w:sz w:val="20"/>
      <w:szCs w:val="20"/>
    </w:rPr>
  </w:style>
  <w:style w:type="character" w:styleId="Appleconvertedspace" w:customStyle="1">
    <w:name w:val="apple-converted-space"/>
    <w:basedOn w:val="DefaultParagraphFont"/>
    <w:qFormat/>
    <w:rsid w:val="00702a5b"/>
    <w:rPr/>
  </w:style>
  <w:style w:type="character" w:styleId="11" w:customStyle="1">
    <w:name w:val="Заголовок 1 Знак"/>
    <w:basedOn w:val="DefaultParagraphFont"/>
    <w:link w:val="1"/>
    <w:qFormat/>
    <w:rsid w:val="007023a8"/>
    <w:rPr>
      <w:rFonts w:ascii="Cambria" w:hAnsi="Cambria" w:eastAsia="" w:cs="" w:asciiTheme="majorHAnsi" w:cstheme="majorBidi" w:eastAsiaTheme="majorEastAsia" w:hAnsiTheme="majorHAnsi"/>
      <w:b/>
      <w:bCs/>
      <w:color w:val="365F91" w:themeColor="accent1" w:themeShade="bf"/>
      <w:sz w:val="28"/>
      <w:szCs w:val="28"/>
    </w:rPr>
  </w:style>
  <w:style w:type="character" w:styleId="Style19" w:customStyle="1">
    <w:name w:val="Основной текст с отступом Знак"/>
    <w:basedOn w:val="DefaultParagraphFont"/>
    <w:link w:val="af6"/>
    <w:qFormat/>
    <w:rsid w:val="00193cc2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21" w:customStyle="1">
    <w:name w:val="Основной текст с отступом 2 Знак"/>
    <w:basedOn w:val="DefaultParagraphFont"/>
    <w:link w:val="22"/>
    <w:uiPriority w:val="99"/>
    <w:qFormat/>
    <w:rsid w:val="00a15db1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Style20">
    <w:name w:val="Интернет-ссылка"/>
    <w:basedOn w:val="DefaultParagraphFont"/>
    <w:uiPriority w:val="99"/>
    <w:unhideWhenUsed/>
    <w:rsid w:val="008346af"/>
    <w:rPr>
      <w:color w:val="0000FF"/>
      <w:u w:val="single"/>
    </w:rPr>
  </w:style>
  <w:style w:type="character" w:styleId="Style21" w:customStyle="1">
    <w:name w:val="Текст Знак"/>
    <w:basedOn w:val="DefaultParagraphFont"/>
    <w:link w:val="af9"/>
    <w:qFormat/>
    <w:rsid w:val="00455bfd"/>
    <w:rPr>
      <w:rFonts w:ascii="Courier New" w:hAnsi="Courier New" w:eastAsia="MS Mincho" w:cs="Courier New"/>
      <w:sz w:val="20"/>
      <w:szCs w:val="20"/>
      <w:lang w:eastAsia="ja-JP"/>
    </w:rPr>
  </w:style>
  <w:style w:type="character" w:styleId="22" w:customStyle="1">
    <w:name w:val="_ЗАГ_2_2 Знак"/>
    <w:link w:val="220"/>
    <w:qFormat/>
    <w:rsid w:val="00610fec"/>
    <w:rPr>
      <w:rFonts w:ascii="OfficinaSansC" w:hAnsi="OfficinaSansC" w:eastAsia="MS Mincho" w:cs="Times New Roman"/>
      <w:b/>
      <w:bCs/>
      <w:sz w:val="28"/>
      <w:szCs w:val="28"/>
      <w:lang w:eastAsia="ja-JP"/>
    </w:rPr>
  </w:style>
  <w:style w:type="character" w:styleId="23" w:customStyle="1">
    <w:name w:val="Заголовок 2 Знак"/>
    <w:basedOn w:val="DefaultParagraphFont"/>
    <w:link w:val="2"/>
    <w:uiPriority w:val="9"/>
    <w:qFormat/>
    <w:rsid w:val="00b106de"/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  <w:sz w:val="26"/>
      <w:szCs w:val="26"/>
    </w:rPr>
  </w:style>
  <w:style w:type="character" w:styleId="Rtxt" w:customStyle="1">
    <w:name w:val="rtxt"/>
    <w:basedOn w:val="DefaultParagraphFont"/>
    <w:qFormat/>
    <w:rsid w:val="00e230ad"/>
    <w:rPr/>
  </w:style>
  <w:style w:type="character" w:styleId="31" w:customStyle="1">
    <w:name w:val="Заголовок 3 Знак"/>
    <w:basedOn w:val="DefaultParagraphFont"/>
    <w:link w:val="3"/>
    <w:uiPriority w:val="9"/>
    <w:qFormat/>
    <w:rsid w:val="00501893"/>
    <w:rPr>
      <w:rFonts w:ascii="Cambria" w:hAnsi="Cambria" w:eastAsia="" w:cs="" w:asciiTheme="majorHAnsi" w:cstheme="majorBidi" w:eastAsiaTheme="majorEastAsia" w:hAnsiTheme="majorHAnsi"/>
      <w:b/>
      <w:bCs/>
      <w:color w:val="4F81BD" w:themeColor="accent1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sz w:val="28"/>
    </w:rPr>
  </w:style>
  <w:style w:type="character" w:styleId="ListLabel8">
    <w:name w:val="ListLabel 8"/>
    <w:qFormat/>
    <w:rPr>
      <w:rFonts w:cs="Courier New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Courier New"/>
    </w:rPr>
  </w:style>
  <w:style w:type="character" w:styleId="ListLabel11">
    <w:name w:val="ListLabel 11"/>
    <w:qFormat/>
    <w:rPr>
      <w:b w:val="false"/>
    </w:rPr>
  </w:style>
  <w:style w:type="character" w:styleId="ListLabel12">
    <w:name w:val="ListLabel 12"/>
    <w:qFormat/>
    <w:rPr>
      <w:sz w:val="28"/>
    </w:rPr>
  </w:style>
  <w:style w:type="character" w:styleId="ListLabel13">
    <w:name w:val="ListLabel 13"/>
    <w:qFormat/>
    <w:rPr>
      <w:rFonts w:cs="Courier New"/>
    </w:rPr>
  </w:style>
  <w:style w:type="character" w:styleId="ListLabel14">
    <w:name w:val="ListLabel 14"/>
    <w:qFormat/>
    <w:rPr>
      <w:rFonts w:cs="Courier New"/>
    </w:rPr>
  </w:style>
  <w:style w:type="character" w:styleId="ListLabel15">
    <w:name w:val="ListLabel 15"/>
    <w:qFormat/>
    <w:rPr>
      <w:rFonts w:cs="Courier New"/>
    </w:rPr>
  </w:style>
  <w:style w:type="character" w:styleId="ListLabel16">
    <w:name w:val="ListLabel 16"/>
    <w:qFormat/>
    <w:rPr>
      <w:sz w:val="28"/>
    </w:rPr>
  </w:style>
  <w:style w:type="character" w:styleId="ListLabel17">
    <w:name w:val="ListLabel 17"/>
    <w:qFormat/>
    <w:rPr>
      <w:rFonts w:cs="Courier New"/>
    </w:rPr>
  </w:style>
  <w:style w:type="character" w:styleId="ListLabel18">
    <w:name w:val="ListLabel 18"/>
    <w:qFormat/>
    <w:rPr>
      <w:rFonts w:cs="Courier New"/>
    </w:rPr>
  </w:style>
  <w:style w:type="character" w:styleId="ListLabel19">
    <w:name w:val="ListLabel 19"/>
    <w:qFormat/>
    <w:rPr>
      <w:rFonts w:cs="Courier New"/>
    </w:rPr>
  </w:style>
  <w:style w:type="character" w:styleId="ListLabel20">
    <w:name w:val="ListLabel 20"/>
    <w:qFormat/>
    <w:rPr>
      <w:rFonts w:cs="Times New Roman"/>
    </w:rPr>
  </w:style>
  <w:style w:type="character" w:styleId="ListLabel21">
    <w:name w:val="ListLabel 21"/>
    <w:qFormat/>
    <w:rPr>
      <w:rFonts w:cs="Times New Roman"/>
    </w:rPr>
  </w:style>
  <w:style w:type="character" w:styleId="ListLabel22">
    <w:name w:val="ListLabel 22"/>
    <w:qFormat/>
    <w:rPr>
      <w:rFonts w:cs="Times New Roman"/>
    </w:rPr>
  </w:style>
  <w:style w:type="character" w:styleId="ListLabel23">
    <w:name w:val="ListLabel 23"/>
    <w:qFormat/>
    <w:rPr>
      <w:rFonts w:cs="Times New Roman"/>
    </w:rPr>
  </w:style>
  <w:style w:type="character" w:styleId="ListLabel24">
    <w:name w:val="ListLabel 24"/>
    <w:qFormat/>
    <w:rPr>
      <w:rFonts w:cs="Times New Roman"/>
    </w:rPr>
  </w:style>
  <w:style w:type="character" w:styleId="ListLabel25">
    <w:name w:val="ListLabel 25"/>
    <w:qFormat/>
    <w:rPr>
      <w:rFonts w:cs="Times New Roman"/>
    </w:rPr>
  </w:style>
  <w:style w:type="character" w:styleId="ListLabel26">
    <w:name w:val="ListLabel 26"/>
    <w:qFormat/>
    <w:rPr>
      <w:rFonts w:cs="Times New Roman"/>
    </w:rPr>
  </w:style>
  <w:style w:type="character" w:styleId="ListLabel27">
    <w:name w:val="ListLabel 27"/>
    <w:qFormat/>
    <w:rPr>
      <w:rFonts w:cs="Times New Roman"/>
    </w:rPr>
  </w:style>
  <w:style w:type="character" w:styleId="ListLabel28">
    <w:name w:val="ListLabel 28"/>
    <w:qFormat/>
    <w:rPr>
      <w:rFonts w:ascii="Times New Roman" w:hAnsi="Times New Roman" w:cs="Times New Roman"/>
      <w:sz w:val="24"/>
      <w:szCs w:val="24"/>
      <w:lang w:eastAsia="ar-SA"/>
    </w:rPr>
  </w:style>
  <w:style w:type="character" w:styleId="ListLabel29">
    <w:name w:val="ListLabel 29"/>
    <w:qFormat/>
    <w:rPr>
      <w:rFonts w:ascii="Times New Roman" w:hAnsi="Times New Roman"/>
      <w:color w:val="006CA1"/>
      <w:sz w:val="24"/>
      <w:szCs w:val="24"/>
    </w:rPr>
  </w:style>
  <w:style w:type="character" w:styleId="ListLabel30">
    <w:name w:val="ListLabel 30"/>
    <w:qFormat/>
    <w:rPr>
      <w:rFonts w:ascii="Times New Roman" w:hAnsi="Times New Roman"/>
      <w:sz w:val="24"/>
      <w:szCs w:val="24"/>
    </w:rPr>
  </w:style>
  <w:style w:type="character" w:styleId="ListLabel31">
    <w:name w:val="ListLabel 31"/>
    <w:qFormat/>
    <w:rPr>
      <w:rFonts w:ascii="Times New Roman" w:hAnsi="Times New Roman" w:cs="Times New Roman"/>
      <w:color w:val="auto"/>
      <w:sz w:val="24"/>
      <w:szCs w:val="24"/>
    </w:rPr>
  </w:style>
  <w:style w:type="character" w:styleId="ListLabel32">
    <w:name w:val="ListLabel 32"/>
    <w:qFormat/>
    <w:rPr>
      <w:rFonts w:ascii="Times New Roman" w:hAnsi="Times New Roman" w:eastAsia="Times New Roman"/>
      <w:color w:val="0000FF"/>
      <w:sz w:val="24"/>
      <w:szCs w:val="24"/>
      <w:u w:val="single"/>
      <w:lang w:eastAsia="ru-RU"/>
    </w:rPr>
  </w:style>
  <w:style w:type="character" w:styleId="ListLabel33">
    <w:name w:val="ListLabel 33"/>
    <w:qFormat/>
    <w:rPr/>
  </w:style>
  <w:style w:type="character" w:styleId="Style22">
    <w:name w:val="Ссылка указателя"/>
    <w:qFormat/>
    <w:rPr/>
  </w:style>
  <w:style w:type="paragraph" w:styleId="Style23">
    <w:name w:val="Заголовок"/>
    <w:basedOn w:val="Normal"/>
    <w:next w:val="Style24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24">
    <w:name w:val="Body Text"/>
    <w:basedOn w:val="Normal"/>
    <w:link w:val="a9"/>
    <w:rsid w:val="000748d4"/>
    <w:pPr>
      <w:widowControl w:val="false"/>
      <w:spacing w:lineRule="auto" w:line="420" w:before="0" w:after="120"/>
      <w:ind w:firstLine="680"/>
      <w:jc w:val="both"/>
    </w:pPr>
    <w:rPr>
      <w:rFonts w:ascii="Times New Roman" w:hAnsi="Times New Roman" w:eastAsia="Times New Roman"/>
      <w:sz w:val="28"/>
      <w:szCs w:val="20"/>
      <w:lang w:eastAsia="ru-RU"/>
    </w:rPr>
  </w:style>
  <w:style w:type="paragraph" w:styleId="Style25">
    <w:name w:val="List"/>
    <w:basedOn w:val="Style24"/>
    <w:pPr/>
    <w:rPr>
      <w:rFonts w:cs="Lohit Devanagari"/>
    </w:rPr>
  </w:style>
  <w:style w:type="paragraph" w:styleId="Style26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27">
    <w:name w:val="Указатель"/>
    <w:basedOn w:val="Normal"/>
    <w:qFormat/>
    <w:pPr>
      <w:suppressLineNumbers/>
    </w:pPr>
    <w:rPr>
      <w:rFonts w:cs="Lohit Devanagari"/>
    </w:rPr>
  </w:style>
  <w:style w:type="paragraph" w:styleId="ListParagraph">
    <w:name w:val="List Paragraph"/>
    <w:basedOn w:val="Normal"/>
    <w:link w:val="a5"/>
    <w:uiPriority w:val="34"/>
    <w:qFormat/>
    <w:rsid w:val="000f605d"/>
    <w:pPr>
      <w:spacing w:lineRule="auto" w:line="259" w:before="0" w:after="160"/>
      <w:ind w:left="720" w:hanging="0"/>
      <w:contextualSpacing/>
    </w:pPr>
    <w:rPr>
      <w:rFonts w:ascii="Calibri" w:hAnsi="Calibri" w:eastAsia="Calibri" w:cs="" w:asciiTheme="minorHAnsi" w:cstheme="minorBidi" w:eastAsiaTheme="minorHAnsi" w:hAnsiTheme="minorHAnsi"/>
    </w:rPr>
  </w:style>
  <w:style w:type="paragraph" w:styleId="BalloonText">
    <w:name w:val="Balloon Text"/>
    <w:basedOn w:val="Normal"/>
    <w:link w:val="a7"/>
    <w:uiPriority w:val="99"/>
    <w:semiHidden/>
    <w:unhideWhenUsed/>
    <w:qFormat/>
    <w:rsid w:val="002508f5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qFormat/>
    <w:rsid w:val="00074c40"/>
    <w:pPr>
      <w:spacing w:lineRule="auto" w:line="240" w:beforeAutospacing="1" w:afterAutospacing="1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Style28">
    <w:name w:val="Header"/>
    <w:basedOn w:val="Normal"/>
    <w:link w:val="ad"/>
    <w:uiPriority w:val="99"/>
    <w:unhideWhenUsed/>
    <w:rsid w:val="00ca7167"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9">
    <w:name w:val="Footer"/>
    <w:basedOn w:val="Normal"/>
    <w:link w:val="af"/>
    <w:uiPriority w:val="99"/>
    <w:unhideWhenUsed/>
    <w:rsid w:val="00ca7167"/>
    <w:pPr>
      <w:tabs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Annotationtext">
    <w:name w:val="annotation text"/>
    <w:basedOn w:val="Normal"/>
    <w:link w:val="af2"/>
    <w:uiPriority w:val="99"/>
    <w:semiHidden/>
    <w:unhideWhenUsed/>
    <w:qFormat/>
    <w:rsid w:val="00892674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link w:val="af4"/>
    <w:uiPriority w:val="99"/>
    <w:semiHidden/>
    <w:unhideWhenUsed/>
    <w:qFormat/>
    <w:rsid w:val="00892674"/>
    <w:pPr/>
    <w:rPr>
      <w:b/>
      <w:bCs/>
    </w:rPr>
  </w:style>
  <w:style w:type="paragraph" w:styleId="Default" w:customStyle="1">
    <w:name w:val="Default"/>
    <w:qFormat/>
    <w:rsid w:val="006e62d8"/>
    <w:pPr>
      <w:widowControl/>
      <w:bidi w:val="0"/>
      <w:spacing w:lineRule="auto" w:line="240" w:before="0" w:after="0"/>
      <w:jc w:val="left"/>
    </w:pPr>
    <w:rPr>
      <w:rFonts w:ascii="Calibri" w:hAnsi="Calibri" w:cs="Calibri" w:eastAsia="Calibri"/>
      <w:color w:val="000000"/>
      <w:kern w:val="0"/>
      <w:sz w:val="24"/>
      <w:szCs w:val="24"/>
      <w:lang w:val="ru-RU" w:eastAsia="en-US" w:bidi="ar-SA"/>
    </w:rPr>
  </w:style>
  <w:style w:type="paragraph" w:styleId="NoSpacing">
    <w:name w:val="No Spacing"/>
    <w:uiPriority w:val="1"/>
    <w:qFormat/>
    <w:rsid w:val="001d0704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eastAsia="ru-RU" w:val="ru-RU" w:bidi="ar-SA"/>
    </w:rPr>
  </w:style>
  <w:style w:type="paragraph" w:styleId="Style30">
    <w:name w:val="Body Text Indent"/>
    <w:basedOn w:val="Normal"/>
    <w:link w:val="af7"/>
    <w:unhideWhenUsed/>
    <w:rsid w:val="00193cc2"/>
    <w:pPr>
      <w:spacing w:lineRule="auto" w:line="240" w:before="0" w:after="120"/>
      <w:ind w:left="283" w:hanging="0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BodyTextIndent2">
    <w:name w:val="Body Text Indent 2"/>
    <w:basedOn w:val="Normal"/>
    <w:link w:val="23"/>
    <w:uiPriority w:val="99"/>
    <w:unhideWhenUsed/>
    <w:qFormat/>
    <w:rsid w:val="00a15db1"/>
    <w:pPr>
      <w:spacing w:lineRule="auto" w:line="480" w:before="0" w:after="120"/>
      <w:ind w:left="283" w:hanging="0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PlainText">
    <w:name w:val="Plain Text"/>
    <w:basedOn w:val="Normal"/>
    <w:link w:val="afa"/>
    <w:qFormat/>
    <w:rsid w:val="00455bfd"/>
    <w:pPr>
      <w:spacing w:lineRule="auto" w:line="240" w:before="0" w:after="0"/>
    </w:pPr>
    <w:rPr>
      <w:rFonts w:ascii="Courier New" w:hAnsi="Courier New" w:eastAsia="MS Mincho" w:cs="Courier New"/>
      <w:sz w:val="20"/>
      <w:szCs w:val="20"/>
      <w:lang w:eastAsia="ja-JP"/>
    </w:rPr>
  </w:style>
  <w:style w:type="paragraph" w:styleId="221" w:customStyle="1">
    <w:name w:val="_ЗАГ_2_2"/>
    <w:basedOn w:val="Normal"/>
    <w:link w:val="221"/>
    <w:qFormat/>
    <w:rsid w:val="00610fec"/>
    <w:pPr>
      <w:tabs>
        <w:tab w:val="left" w:pos="1418" w:leader="none"/>
      </w:tabs>
      <w:spacing w:lineRule="auto" w:line="240" w:before="200" w:after="120"/>
      <w:jc w:val="center"/>
    </w:pPr>
    <w:rPr>
      <w:rFonts w:ascii="OfficinaSansC" w:hAnsi="OfficinaSansC" w:eastAsia="MS Mincho"/>
      <w:b/>
      <w:bCs/>
      <w:sz w:val="28"/>
      <w:szCs w:val="28"/>
      <w:lang w:eastAsia="ja-JP"/>
    </w:rPr>
  </w:style>
  <w:style w:type="paragraph" w:styleId="TOCHeading">
    <w:name w:val="TOC Heading"/>
    <w:basedOn w:val="1"/>
    <w:uiPriority w:val="39"/>
    <w:unhideWhenUsed/>
    <w:qFormat/>
    <w:rsid w:val="00b106de"/>
    <w:pPr/>
    <w:rPr>
      <w:lang w:eastAsia="ru-RU"/>
    </w:rPr>
  </w:style>
  <w:style w:type="paragraph" w:styleId="12">
    <w:name w:val="TOC 1"/>
    <w:basedOn w:val="Normal"/>
    <w:autoRedefine/>
    <w:uiPriority w:val="39"/>
    <w:unhideWhenUsed/>
    <w:rsid w:val="00b106de"/>
    <w:pPr>
      <w:spacing w:before="0" w:after="100"/>
    </w:pPr>
    <w:rPr/>
  </w:style>
  <w:style w:type="paragraph" w:styleId="24">
    <w:name w:val="TOC 2"/>
    <w:basedOn w:val="Normal"/>
    <w:autoRedefine/>
    <w:uiPriority w:val="39"/>
    <w:unhideWhenUsed/>
    <w:rsid w:val="00b106de"/>
    <w:pPr>
      <w:spacing w:before="0" w:after="100"/>
      <w:ind w:left="220" w:hanging="0"/>
    </w:pPr>
    <w:rPr/>
  </w:style>
  <w:style w:type="paragraph" w:styleId="32">
    <w:name w:val="TOC 3"/>
    <w:basedOn w:val="Normal"/>
    <w:autoRedefine/>
    <w:uiPriority w:val="39"/>
    <w:unhideWhenUsed/>
    <w:rsid w:val="00501893"/>
    <w:pPr>
      <w:spacing w:before="0" w:after="100"/>
      <w:ind w:left="440" w:hanging="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rsid w:val="00db597c"/>
    <w:pPr>
      <w:spacing w:after="0" w:line="240" w:lineRule="auto"/>
    </w:pPr>
    <w:rPr>
      <w:lang w:eastAsia="ru-RU"/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uiPriority w:val="59"/>
    <w:rsid w:val="00ca3453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wmf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footer" Target="footer3.xml"/><Relationship Id="rId7" Type="http://schemas.openxmlformats.org/officeDocument/2006/relationships/hyperlink" Target="https://ya.mininuniver.ru./" TargetMode="External"/><Relationship Id="rId8" Type="http://schemas.openxmlformats.org/officeDocument/2006/relationships/hyperlink" Target="http://biblioclub.ru/index.php?page=book&amp;id=75709" TargetMode="External"/><Relationship Id="rId9" Type="http://schemas.openxmlformats.org/officeDocument/2006/relationships/hyperlink" Target="http://biblioclub.ru/index.php?page=book&amp;id=135675" TargetMode="External"/><Relationship Id="rId10" Type="http://schemas.openxmlformats.org/officeDocument/2006/relationships/hyperlink" Target="http://biblioclub.ru/index.php?page=book&amp;id=466802" TargetMode="External"/><Relationship Id="rId11" Type="http://schemas.openxmlformats.org/officeDocument/2006/relationships/hyperlink" Target="http://biblioclub.ru/index.php?page=book&amp;id=497748" TargetMode="External"/><Relationship Id="rId12" Type="http://schemas.openxmlformats.org/officeDocument/2006/relationships/hyperlink" Target="http://biblioclub.ru/index.php?page=book&amp;id=467106" TargetMode="External"/><Relationship Id="rId13" Type="http://schemas.openxmlformats.org/officeDocument/2006/relationships/hyperlink" Target="http://www.biblioclub.ru/" TargetMode="External"/><Relationship Id="rId14" Type="http://schemas.openxmlformats.org/officeDocument/2006/relationships/hyperlink" Target="http://www.elibrary.ru/" TargetMode="External"/><Relationship Id="rId15" Type="http://schemas.openxmlformats.org/officeDocument/2006/relationships/hyperlink" Target="http://www.ebiblioteka.ru/" TargetMode="External"/><Relationship Id="rId16" Type="http://schemas.openxmlformats.org/officeDocument/2006/relationships/hyperlink" Target="http://biblioclub.ru/index.php?page=book&amp;id=277040" TargetMode="External"/><Relationship Id="rId17" Type="http://schemas.openxmlformats.org/officeDocument/2006/relationships/hyperlink" Target="http://biblioclub.ru/index.php?page=book&amp;id=273796" TargetMode="External"/><Relationship Id="rId18" Type="http://schemas.openxmlformats.org/officeDocument/2006/relationships/hyperlink" Target="http://biblioclub.ru/index.php?page=book&amp;id=364557" TargetMode="External"/><Relationship Id="rId19" Type="http://schemas.openxmlformats.org/officeDocument/2006/relationships/hyperlink" Target="http://biblioclub.ru/index.php?page=book&amp;id=277779" TargetMode="External"/><Relationship Id="rId20" Type="http://schemas.openxmlformats.org/officeDocument/2006/relationships/hyperlink" Target="http://biblioclub.ru/index.php?page=book&amp;id=500042" TargetMode="External"/><Relationship Id="rId21" Type="http://schemas.openxmlformats.org/officeDocument/2006/relationships/hyperlink" Target="http://www.cqham.ru/lib.htm" TargetMode="External"/><Relationship Id="rId22" Type="http://schemas.openxmlformats.org/officeDocument/2006/relationships/hyperlink" Target="http://www.ph4s.ru/book_electronika.html-" TargetMode="External"/><Relationship Id="rId23" Type="http://schemas.openxmlformats.org/officeDocument/2006/relationships/hyperlink" Target="http://biblioclub.ru/index.php?page=book&amp;id=277040" TargetMode="External"/><Relationship Id="rId24" Type="http://schemas.openxmlformats.org/officeDocument/2006/relationships/hyperlink" Target="http://biblioclub.ru/index.php?page=book&amp;id=273796" TargetMode="External"/><Relationship Id="rId25" Type="http://schemas.openxmlformats.org/officeDocument/2006/relationships/hyperlink" Target="http://biblioclub.ru/index.php?page=book&amp;id=364557" TargetMode="External"/><Relationship Id="rId26" Type="http://schemas.openxmlformats.org/officeDocument/2006/relationships/hyperlink" Target="http://biblioclub.ru/index.php?page=book&amp;id=277779" TargetMode="External"/><Relationship Id="rId27" Type="http://schemas.openxmlformats.org/officeDocument/2006/relationships/hyperlink" Target="http://biblioclub.ru/index.php?page=book&amp;id=500042" TargetMode="External"/><Relationship Id="rId28" Type="http://schemas.openxmlformats.org/officeDocument/2006/relationships/hyperlink" Target="http://www.cqham.ru/lib.htm" TargetMode="External"/><Relationship Id="rId29" Type="http://schemas.openxmlformats.org/officeDocument/2006/relationships/hyperlink" Target="http://www.ph4s.ru/book_electronika.html-" TargetMode="External"/><Relationship Id="rId30" Type="http://schemas.openxmlformats.org/officeDocument/2006/relationships/footer" Target="footer4.xml"/><Relationship Id="rId31" Type="http://schemas.openxmlformats.org/officeDocument/2006/relationships/numbering" Target="numbering.xml"/><Relationship Id="rId32" Type="http://schemas.openxmlformats.org/officeDocument/2006/relationships/fontTable" Target="fontTable.xml"/><Relationship Id="rId33" Type="http://schemas.openxmlformats.org/officeDocument/2006/relationships/settings" Target="settings.xml"/><Relationship Id="rId34" Type="http://schemas.openxmlformats.org/officeDocument/2006/relationships/theme" Target="theme/theme1.xml"/><Relationship Id="rId35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9533FF-8EE7-46D7-AAAB-ED37BCAE3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Application>LibreOffice/6.0.7.3$Linux_X86_64 LibreOffice_project/00m0$Build-3</Application>
  <Pages>22</Pages>
  <Words>4385</Words>
  <Characters>31868</Characters>
  <CharactersWithSpaces>35486</CharactersWithSpaces>
  <Paragraphs>791</Paragraphs>
  <Company>Reanimator Extreme Edition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2019-04-10T08:11:00Z</dcterms:created>
  <dc:creator>User</dc:creator>
  <dc:description/>
  <dc:language>ru-RU</dc:language>
  <cp:lastModifiedBy/>
  <cp:lastPrinted>2016-08-16T08:28:00Z</cp:lastPrinted>
  <dcterms:modified xsi:type="dcterms:W3CDTF">2020-07-14T10:11:15Z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