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media/image2.png" ContentType="image/png"/>
  <Override PartName="/word/media/image1.png" ContentType="image/png"/>
  <Override PartName="/word/settings.xml" ContentType="application/vnd.openxmlformats-officedocument.wordprocessingml.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eastAsia="Times New Roman" w:ascii="Times New Roman" w:hAnsi="Times New Roman"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40486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before="0" w:after="0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eastAsia="Times New Roman" w:ascii="Times New Roman" w:hAnsi="Times New Roman"/>
          <w:sz w:val="28"/>
          <w:szCs w:val="28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404860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jc w:val="center"/>
        <w:rPr>
          <w:rFonts w:ascii="Times New Roman" w:hAnsi="Times New Roman" w:eastAsia="TimesNewRoman"/>
          <w:b/>
          <w:b/>
          <w:bCs/>
          <w:sz w:val="24"/>
          <w:szCs w:val="24"/>
        </w:rPr>
      </w:pPr>
      <w:r>
        <w:rPr>
          <w:rFonts w:eastAsia="TimesNewRoman" w:ascii="Times New Roman" w:hAnsi="Times New Roman"/>
          <w:b/>
          <w:bCs/>
          <w:sz w:val="24"/>
          <w:szCs w:val="24"/>
        </w:rPr>
        <w:t>Введение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Комплексный экзамен готовности к профессиональной деятельности (далее – комплексный экзамен или КЭГ) – комплексное испытание, направленное на 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деятельности. КЭГ проводится с привлечением представителей региональных органов управления образованием и представителей организаций-работодателей. Комплексный экзамен включает следующие компоненты: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тестирование по педагогике и психологии,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представление портфолио аттестуемого,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- защита курсового проекта по дисциплине (-нам) предметной области будущей педагогической деятельности.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Тестирование по педагогике и психологии как часть КЭГ носит междисциплинарный характер и направлено на определение уровня сформированности знаниевой и деятельностной составляющей компетенции в данных областях. Тестирование по педагогике и психологии проводится с использованием кейсов, контекстных задач и др.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Портфолио обучающегося – документально зафиксированные результаты, подтверждающие индивидуальные достижения обучающегося в разнообразных видах деятельности. Портфолио оценивается на основании критериев и показателей, разработанных в соответствии с </w:t>
      </w:r>
      <w:r>
        <w:rPr>
          <w:rFonts w:ascii="Times New Roman" w:hAnsi="Times New Roman"/>
          <w:sz w:val="24"/>
          <w:szCs w:val="24"/>
        </w:rPr>
        <w:t>Профессиональным стандартом педагога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>
        <w:rPr>
          <w:rFonts w:eastAsia="TimesNewRoman" w:ascii="Times New Roman" w:hAnsi="Times New Roman"/>
          <w:iCs/>
          <w:sz w:val="24"/>
          <w:szCs w:val="24"/>
        </w:rPr>
        <w:t xml:space="preserve"> и  результативностью деятельности аттестуемого.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Защита курсового проекта по дисциплине (-нам) предметной области будущей педагогической деятельности направлена на выявление объективной оценки результата достижений по исследуемой проблеме, значимой для аттестуемого и работодателей. </w:t>
      </w: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Комплексный экзамен проводится в летний период перед распределением квот на места целевой подготовки.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Программа составлена с учетом квалификационной характеристики педагога, содержащейся в Профессиональном стандарте педагога и федеральном государственном образовательном стандарте высшего образования по укрупненной группе направления подготовки «Образование и педагогические науки», рабочих учебных программ дисциплин.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Программа КЭГ адресована обучающимся  </w:t>
      </w:r>
      <w:r>
        <w:rPr>
          <w:rFonts w:ascii="Times New Roman" w:hAnsi="Times New Roman"/>
          <w:bCs/>
          <w:sz w:val="24"/>
          <w:szCs w:val="24"/>
        </w:rPr>
        <w:t>44.03.05 Педагогическое образование/ п</w:t>
      </w:r>
      <w:r>
        <w:rPr>
          <w:rFonts w:ascii="Times New Roman" w:hAnsi="Times New Roman"/>
          <w:sz w:val="24"/>
          <w:szCs w:val="24"/>
        </w:rPr>
        <w:t>рофиль подготовки «</w:t>
      </w:r>
      <w:r>
        <w:rPr>
          <w:rFonts w:ascii="Times New Roman" w:hAnsi="Times New Roman"/>
          <w:bCs/>
          <w:sz w:val="24"/>
          <w:szCs w:val="24"/>
        </w:rPr>
        <w:t>Физика и математика»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Цель и задачи комплексного экзамена</w:t>
      </w:r>
    </w:p>
    <w:tbl>
      <w:tblPr>
        <w:tblW w:w="9322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363"/>
        <w:gridCol w:w="6958"/>
      </w:tblGrid>
      <w:tr>
        <w:trPr>
          <w:trHeight w:val="1345" w:hRule="atLeast"/>
        </w:trPr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Цель проведения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6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 w:eastAsia="Calibri,Italic"/>
                <w:i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>
        <w:trPr/>
        <w:tc>
          <w:tcPr>
            <w:tcW w:w="2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Задачи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проведения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</w:tc>
        <w:tc>
          <w:tcPr>
            <w:tcW w:w="6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определение соответствия уровня мотивационной  готовности к профессиональной деятельности требованиям ФГОС ВО и работодателей;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уровня сформированности образовательных результатов в области педагогики, психологии, определяющих профессиональные способности выпускника;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уровня сформированности образовательных результатов по предмету будущей педагогической деятельности;</w:t>
            </w:r>
          </w:p>
          <w:p>
            <w:pPr>
              <w:pStyle w:val="Normal"/>
              <w:spacing w:before="0" w:after="0"/>
              <w:ind w:firstLine="709"/>
              <w:jc w:val="both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оценка индивидуальных достижений в профессионально-ориентированных видах деятельности.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i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z w:val="24"/>
                <w:szCs w:val="24"/>
              </w:rPr>
            </w:r>
          </w:p>
        </w:tc>
      </w:tr>
    </w:tbl>
    <w:p>
      <w:pPr>
        <w:pStyle w:val="Normal"/>
        <w:widowControl w:val="false"/>
        <w:spacing w:before="0" w:after="0"/>
        <w:ind w:firstLine="709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widowControl w:val="false"/>
        <w:spacing w:before="0" w:after="120"/>
        <w:ind w:firstLine="709"/>
        <w:jc w:val="center"/>
        <w:rPr>
          <w:rFonts w:ascii="Times New Roman" w:hAnsi="Times New Roman" w:eastAsia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2. Требования к уровню подготовки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КЭГ ставит своей целью комплексно оценить степень соответствия мотивационной, практической и теоретической подготовленности аттестуемого к получению профильного педагогического образования для продолжения специализированного обучения педагогической профессии и последующего трудоустройства в образовательные организации.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комплексном экзамене аттестуемый должен: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>мотивационную готовность</w:t>
      </w:r>
      <w:r>
        <w:rPr>
          <w:rFonts w:ascii="Times New Roman" w:hAnsi="Times New Roman"/>
          <w:sz w:val="24"/>
          <w:szCs w:val="24"/>
        </w:rPr>
        <w:t xml:space="preserve"> к осуществлению следующих </w:t>
      </w:r>
      <w:r>
        <w:rPr>
          <w:rFonts w:ascii="Times New Roman" w:hAnsi="Times New Roman"/>
          <w:b/>
          <w:bCs/>
          <w:sz w:val="24"/>
          <w:szCs w:val="24"/>
        </w:rPr>
        <w:t>видов деятельности</w:t>
      </w:r>
      <w:r>
        <w:rPr>
          <w:rFonts w:ascii="Times New Roman" w:hAnsi="Times New Roman"/>
          <w:sz w:val="24"/>
          <w:szCs w:val="24"/>
        </w:rPr>
        <w:t>: учебной, исследовательской, проектной, педагогической;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>
        <w:rPr>
          <w:rFonts w:ascii="Times New Roman" w:hAnsi="Times New Roman"/>
          <w:sz w:val="24"/>
          <w:szCs w:val="24"/>
        </w:rPr>
        <w:t>образовательных результатов в области педагогики,  психологии, определяющих профессиональные способности выпускника;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продемонстрировать </w:t>
      </w:r>
      <w:r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>
        <w:rPr>
          <w:rFonts w:ascii="Times New Roman" w:hAnsi="Times New Roman"/>
          <w:sz w:val="24"/>
          <w:szCs w:val="24"/>
        </w:rPr>
        <w:t>образовательных результатов по предмету будущей педагогической деятельности;</w:t>
      </w:r>
    </w:p>
    <w:p>
      <w:pPr>
        <w:pStyle w:val="Normal"/>
        <w:numPr>
          <w:ilvl w:val="0"/>
          <w:numId w:val="4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подготовленности к решению </w:t>
      </w:r>
      <w:r>
        <w:rPr>
          <w:rFonts w:ascii="Times New Roman" w:hAnsi="Times New Roman"/>
          <w:sz w:val="24"/>
          <w:szCs w:val="24"/>
        </w:rPr>
        <w:t xml:space="preserve">следующих </w:t>
      </w:r>
      <w:r>
        <w:rPr>
          <w:rFonts w:ascii="Times New Roman" w:hAnsi="Times New Roman"/>
          <w:b/>
          <w:bCs/>
          <w:sz w:val="24"/>
          <w:szCs w:val="24"/>
        </w:rPr>
        <w:t>профессиональных задач</w:t>
      </w:r>
      <w:r>
        <w:rPr>
          <w:rFonts w:ascii="Times New Roman" w:hAnsi="Times New Roman"/>
          <w:sz w:val="24"/>
          <w:szCs w:val="24"/>
        </w:rPr>
        <w:t>: организационных, воспитательных, диагностических.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рамках проведения комплексного экзамена оцениваются следующие образовательные результаты, соответствующие </w:t>
      </w:r>
      <w:r>
        <w:rPr>
          <w:rFonts w:eastAsia="TimesNewRoman" w:ascii="Times New Roman" w:hAnsi="Times New Roman"/>
          <w:iCs/>
          <w:sz w:val="24"/>
          <w:szCs w:val="24"/>
        </w:rPr>
        <w:t>Профессиональному стандарту и ФГОС ВО:</w:t>
      </w:r>
    </w:p>
    <w:tbl>
      <w:tblPr>
        <w:tblW w:w="9465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98"/>
        <w:gridCol w:w="7766"/>
      </w:tblGrid>
      <w:tr>
        <w:trPr>
          <w:trHeight w:val="613" w:hRule="atLeast"/>
        </w:trPr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 компетенции</w:t>
            </w:r>
          </w:p>
        </w:tc>
      </w:tr>
      <w:tr>
        <w:trPr/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УК-6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управлять своим временем, выстраивать и реализовывать траекторию саморазвития на основе принципов образования в течение всей жизни</w:t>
            </w:r>
          </w:p>
        </w:tc>
      </w:tr>
      <w:tr>
        <w:trPr/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ОПК-8</w:t>
            </w:r>
          </w:p>
        </w:tc>
        <w:tc>
          <w:tcPr>
            <w:tcW w:w="7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осуществлять педагогическую деятельность на основе специальных научных знаний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tbl>
      <w:tblPr>
        <w:tblW w:w="9464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380"/>
        <w:gridCol w:w="5956"/>
        <w:gridCol w:w="2"/>
        <w:gridCol w:w="2126"/>
      </w:tblGrid>
      <w:tr>
        <w:trPr>
          <w:trHeight w:val="555" w:hRule="atLeast"/>
        </w:trPr>
        <w:tc>
          <w:tcPr>
            <w:tcW w:w="73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Образовательные результаты (ОР)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Компетенции </w:t>
            </w:r>
          </w:p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в соответствии с ФГОС ВО</w:t>
            </w:r>
          </w:p>
        </w:tc>
      </w:tr>
      <w:tr>
        <w:trPr>
          <w:trHeight w:val="555" w:hRule="atLeast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</w:t>
            </w:r>
          </w:p>
        </w:tc>
        <w:tc>
          <w:tcPr>
            <w:tcW w:w="21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</w:tr>
      <w:tr>
        <w:trPr/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владение электронным сервисом «Портфолио»</w:t>
            </w:r>
          </w:p>
        </w:tc>
        <w:tc>
          <w:tcPr>
            <w:tcW w:w="21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  <w:tr>
        <w:trPr/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знания в области педагогики и психологии</w:t>
            </w:r>
          </w:p>
        </w:tc>
        <w:tc>
          <w:tcPr>
            <w:tcW w:w="21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  <w:tr>
        <w:trPr/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5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владение письменной речью, поиском информации, структурированием информации и умением представлять результаты</w:t>
            </w:r>
          </w:p>
        </w:tc>
        <w:tc>
          <w:tcPr>
            <w:tcW w:w="21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рамках проведения комплексного экзамена проверятся степень сформированности у аттестуемого  следующих компетенций</w:t>
      </w:r>
      <w:r>
        <w:rPr>
          <w:rStyle w:val="Style14"/>
          <w:rStyle w:val="Style14"/>
          <w:rFonts w:ascii="Times New Roman" w:hAnsi="Times New Roman"/>
          <w:sz w:val="24"/>
          <w:szCs w:val="24"/>
          <w:vertAlign w:val="superscript"/>
        </w:rPr>
        <w:footnoteReference w:id="2"/>
      </w:r>
      <w:r>
        <w:rPr>
          <w:rFonts w:ascii="Times New Roman" w:hAnsi="Times New Roman"/>
          <w:sz w:val="24"/>
          <w:szCs w:val="24"/>
        </w:rPr>
        <w:t>:</w:t>
      </w:r>
    </w:p>
    <w:tbl>
      <w:tblPr>
        <w:tblW w:w="9640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696"/>
        <w:gridCol w:w="1701"/>
        <w:gridCol w:w="2128"/>
        <w:gridCol w:w="2126"/>
        <w:gridCol w:w="1989"/>
      </w:tblGrid>
      <w:tr>
        <w:trPr/>
        <w:tc>
          <w:tcPr>
            <w:tcW w:w="16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Расшифровка компетенции</w:t>
            </w:r>
          </w:p>
        </w:tc>
        <w:tc>
          <w:tcPr>
            <w:tcW w:w="62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Степень сформированности компетенций</w:t>
            </w:r>
          </w:p>
        </w:tc>
      </w:tr>
      <w:tr>
        <w:trPr/>
        <w:tc>
          <w:tcPr>
            <w:tcW w:w="169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170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Повышенный</w:t>
            </w:r>
          </w:p>
        </w:tc>
        <w:tc>
          <w:tcPr>
            <w:tcW w:w="41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Пороговый</w:t>
            </w:r>
          </w:p>
        </w:tc>
      </w:tr>
      <w:tr>
        <w:trPr/>
        <w:tc>
          <w:tcPr>
            <w:tcW w:w="1696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170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Оптимальный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Допустимый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i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Критический</w:t>
            </w:r>
          </w:p>
        </w:tc>
      </w:tr>
      <w:tr>
        <w:trPr/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Универсальные компетенции (ОК)</w:t>
            </w:r>
          </w:p>
        </w:tc>
      </w:tr>
      <w:tr>
        <w:trPr/>
        <w:tc>
          <w:tcPr>
            <w:tcW w:w="1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160" w:leader="none"/>
                <w:tab w:val="left" w:pos="415" w:leader="none"/>
              </w:tabs>
              <w:spacing w:before="0" w:after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УК-6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управлять своим временем, выстраивать и реализовывать траекторию саморазвития на основе принципов образования в течение всей жизни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Обладает в полном объеме способностью рационального распределения временных и информационных ресурсов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допустимый уровень владения рациональным распределением временных и информационных ресурсов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Испытывает трудности при осуществлении рационального распределения временных и информационных ресурсов </w:t>
            </w:r>
          </w:p>
        </w:tc>
      </w:tr>
      <w:tr>
        <w:trPr/>
        <w:tc>
          <w:tcPr>
            <w:tcW w:w="1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ОПК-8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осуществлять педагогическую деятельность на основе специальных научных знаний</w:t>
            </w:r>
          </w:p>
        </w:tc>
        <w:tc>
          <w:tcPr>
            <w:tcW w:w="2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Обладает в полном объеме специальными научными знаниями в т.ч. в предметной области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допустимый уровень владения специальными научными знаниями в т.ч. в предметной области</w:t>
            </w:r>
          </w:p>
        </w:tc>
        <w:tc>
          <w:tcPr>
            <w:tcW w:w="1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Испытывает трудности владения специальными научными знаниями в т.ч. в предметной области</w:t>
            </w:r>
          </w:p>
        </w:tc>
      </w:tr>
    </w:tbl>
    <w:p>
      <w:pPr>
        <w:pStyle w:val="Normal"/>
        <w:tabs>
          <w:tab w:val="left" w:pos="2970" w:leader="none"/>
        </w:tabs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3. Перечень дисциплин, формирующих программу </w:t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комплексного экзамена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решения заявленных в п. 1 целей и задач в программу </w:t>
      </w:r>
      <w:r>
        <w:rPr>
          <w:rFonts w:ascii="Times New Roman" w:hAnsi="Times New Roman"/>
          <w:bCs/>
          <w:sz w:val="24"/>
          <w:szCs w:val="24"/>
        </w:rPr>
        <w:t>комплексного</w:t>
      </w:r>
      <w:r>
        <w:rPr>
          <w:rFonts w:ascii="Times New Roman" w:hAnsi="Times New Roman"/>
          <w:sz w:val="24"/>
          <w:szCs w:val="24"/>
        </w:rPr>
        <w:t xml:space="preserve"> экзамена включены вопросы, определяющие содержание следующих дисциплин:</w:t>
      </w:r>
    </w:p>
    <w:p>
      <w:pPr>
        <w:pStyle w:val="Normal"/>
        <w:numPr>
          <w:ilvl w:val="1"/>
          <w:numId w:val="2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психолого-педагогические дисциплины (раздел 1. Педагогика и раздел 2. Психология. </w:t>
      </w:r>
    </w:p>
    <w:p>
      <w:pPr>
        <w:pStyle w:val="Normal"/>
        <w:numPr>
          <w:ilvl w:val="1"/>
          <w:numId w:val="2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дисциплины модуля предметной подготовки (Модули: Механическая картина мира, Электромагнитная картина мира)</w:t>
      </w:r>
    </w:p>
    <w:p>
      <w:pPr>
        <w:pStyle w:val="Normal"/>
        <w:spacing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4. Содержание комплексного экзамена</w:t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1. Педагогика</w:t>
      </w:r>
      <w:r>
        <w:rPr>
          <w:rStyle w:val="Style14"/>
          <w:rStyle w:val="Style14"/>
          <w:rFonts w:ascii="Times New Roman" w:hAnsi="Times New Roman"/>
          <w:sz w:val="24"/>
          <w:szCs w:val="24"/>
          <w:vertAlign w:val="superscript"/>
        </w:rPr>
        <w:footnoteReference w:id="3"/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1.1. История педагогики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1.2. Проектирование образовательного пространства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1.3. Основы организации педагогического взаимодействия</w:t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2.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2.1. Общая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2.2. Социальная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2.3. Психология развития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2.4. Педагогическая психология</w:t>
      </w:r>
    </w:p>
    <w:p>
      <w:pPr>
        <w:pStyle w:val="Normal"/>
        <w:spacing w:before="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Раздел 3. Предметная подготовка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3.1. Качественные методы в физике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3.2. Общая физика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3.3. Математический анализ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3.4. Высшая алгебра и аналитическая геометрия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3.5. Теория вероятностей и комбинаторика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3.6. Дифференциальные уравнения и нелинейные колебания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Форма и сроки проведения комплексного экзамена</w:t>
      </w:r>
    </w:p>
    <w:p>
      <w:pPr>
        <w:pStyle w:val="Normal"/>
        <w:spacing w:before="0"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Комплексный экзамен включает три компонента, которые проводятся в следующих формах: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презентация портфолио студента – в устной форме с представлением подтверждающих документов на электронном носителе (в электронном сервисе «Портфолио»); 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тестирование по педагогике и психологии – письменно с использованием электронной образовательной среды </w:t>
      </w:r>
      <w:r>
        <w:rPr>
          <w:rFonts w:eastAsia="Times New Roman" w:ascii="Times New Roman" w:hAnsi="Times New Roman"/>
          <w:sz w:val="24"/>
          <w:szCs w:val="24"/>
        </w:rPr>
        <w:t>образовательной организации ВО</w:t>
      </w:r>
      <w:r>
        <w:rPr>
          <w:rFonts w:ascii="Times New Roman" w:hAnsi="Times New Roman"/>
          <w:sz w:val="24"/>
          <w:szCs w:val="24"/>
        </w:rPr>
        <w:t xml:space="preserve">; </w:t>
      </w:r>
    </w:p>
    <w:p>
      <w:pPr>
        <w:pStyle w:val="Normal"/>
        <w:numPr>
          <w:ilvl w:val="0"/>
          <w:numId w:val="1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защита курсового проекта по предметной деятельности – в устной форме. </w:t>
      </w:r>
    </w:p>
    <w:p>
      <w:pPr>
        <w:pStyle w:val="Normal"/>
        <w:spacing w:before="0"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Срок проведения комплексного экзамена определяется учебным планом, организуется в соответствии с графиком учебного процесса и расписанием, устанавливаемом вузом. Трудоемкость комплексного экзамена составляет 1 зачетную единицу (36 академических часов).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Общие рекомендации по подготовке к комплексному экзамену</w:t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6.1. Рекомендации по оформлению портфолио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В портфолио накапливаются документально зафиксированные результаты, подтверждающие индивидуальные достижения в разнообразных видах деятельности. Оценка портфолио проводится на основании критериев и показателей, разработанных в соответствии</w:t>
      </w:r>
      <w:r>
        <w:rPr>
          <w:rFonts w:ascii="Times New Roman" w:hAnsi="Times New Roman"/>
          <w:sz w:val="24"/>
          <w:szCs w:val="24"/>
        </w:rPr>
        <w:t xml:space="preserve"> с </w:t>
      </w:r>
      <w:r>
        <w:rPr>
          <w:rFonts w:eastAsia="TimesNewRoman" w:ascii="Times New Roman" w:hAnsi="Times New Roman"/>
          <w:iCs/>
          <w:sz w:val="24"/>
          <w:szCs w:val="24"/>
        </w:rPr>
        <w:t>Профессиональным стандартом, ФГОС ВО и требованиями работодателей.</w:t>
      </w:r>
    </w:p>
    <w:p>
      <w:pPr>
        <w:pStyle w:val="Normal"/>
        <w:shd w:val="clear" w:color="auto" w:fill="FFFFFF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При формировании портфолио перед аттестуемым ставятся задачи проанализировать и обобщить индивидуальные достижения, связать воедино все аспекты и полно их представить. В портфолио не допускается включение недостоверной информации.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 портфолио обучающиеся Мининского университета используют электронный сервис и организуют подтверждение своих достижений согласно следующей структуры: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Автобиография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Образование и обучение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Научная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Опыт работы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Профессиональная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Общественная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Спортивная деятельность</w:t>
      </w:r>
    </w:p>
    <w:p>
      <w:pPr>
        <w:pStyle w:val="ListParagraph"/>
        <w:numPr>
          <w:ilvl w:val="0"/>
          <w:numId w:val="6"/>
        </w:numPr>
        <w:tabs>
          <w:tab w:val="left" w:pos="993" w:leader="none"/>
        </w:tabs>
        <w:spacing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Культурно-творческая деятельность. </w:t>
      </w:r>
    </w:p>
    <w:p>
      <w:pPr>
        <w:pStyle w:val="Normal"/>
        <w:spacing w:before="0" w:after="0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</w:r>
    </w:p>
    <w:p>
      <w:pPr>
        <w:pStyle w:val="Normal"/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6.2. Рекомендации по подготовке к тестированию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Тестирование носит междисциплинарный характер и направлено на определение уровня сформированности знаниевой и деятельностной составляющей компетенции в области педагогики и психологии, необходимых для осуществления трудовых действий в соответствии с Профессиональным стандартом. Аттестуемый </w:t>
      </w:r>
      <w:r>
        <w:rPr>
          <w:rFonts w:ascii="Times New Roman" w:hAnsi="Times New Roman"/>
          <w:sz w:val="24"/>
          <w:szCs w:val="24"/>
        </w:rPr>
        <w:t>самостоятельно систематизирует полученные ранее знания, умения, навыки по психолого-педагогическим дисциплинам, включенным в содержание КЭ.</w:t>
      </w:r>
      <w:r>
        <w:rPr>
          <w:rFonts w:eastAsia="TimesNewRoman" w:ascii="Times New Roman" w:hAnsi="Times New Roman"/>
          <w:iCs/>
          <w:sz w:val="24"/>
          <w:szCs w:val="24"/>
        </w:rPr>
        <w:t xml:space="preserve"> Тестирование может проводиться с использованием кейс-заданий (кейсов), контекстных задач и др.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Кейс-задание представляет собой описание ситуации, моделирующей профессиональную задачу (проблему), направленную на проверку планирования последовательности профессиональных действий и полноту их реализации. К ситуации, описанной в кейсе, формулируются подзадачи (задачи, вопросы), требующей соответствующей реакции аттестуемого или ее решения. В зависимости от содержания и трудности вопросов определяется минимальное время решения кейса.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Кейс-задание имеет следующую структуру:</w:t>
      </w:r>
    </w:p>
    <w:p>
      <w:pPr>
        <w:pStyle w:val="Normal"/>
        <w:numPr>
          <w:ilvl w:val="1"/>
          <w:numId w:val="5"/>
        </w:numPr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Название кейса.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Формулировка компетенций и трудовых действий из Профессионального стандарта.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 </w:t>
      </w:r>
      <w:r>
        <w:rPr>
          <w:rFonts w:eastAsia="TimesNewRoman" w:ascii="Times New Roman" w:hAnsi="Times New Roman"/>
          <w:iCs/>
          <w:sz w:val="24"/>
          <w:szCs w:val="24"/>
        </w:rPr>
        <w:t>Формулировка образовательных результатов, подлежащих оцениванию.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Инструкция для аттестуемых «Как работать с кейсом?»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Формулировка проблемы или задачи.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Подробное описание практической (их) ситуации (ий).</w:t>
      </w:r>
    </w:p>
    <w:p>
      <w:pPr>
        <w:pStyle w:val="Normal"/>
        <w:numPr>
          <w:ilvl w:val="1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Сопутствующие описанной ситуации факты, положения. Учебно-методическое обеспечение (сопровождение): наглядный, раздаточный или другой иллюстративный материал.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Контекстная задача – задача, условие которой сформулировано как сюжет, ситуация или проблема, и для ее разрешения необходимо использовать знания и умения из разных разделов психологии и педагогики, на которые нет явного указания в тексте задачи. Деятельность аттестуемого в ситуации, описанной в задании, должна обеспечивать возможность комплексной оценки уровня достижений образовательных результатов, сформулированных на основе компетенций ФГОС ВО и трудовых действий Профессионального стандарта педагога.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Контекстная задача имеет следующую структуру: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Условие задачи, включающее описание реальной или близкой к ней практико-ориентированной ситуации.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Требование задачи, направленной на представление результата анализа, осмысление ситуации и поиск способов действий в описанной ситуации в контексте будущей профессиональной деятельности.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Базис задачи, включающий теоретические факты, законы, закономерности, принципы, служащие основанием решения задачи.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Решение задачи, представляющее собой реализацию аттестуемым перехода от условия задачи к требованию и обоснованию предлагаемых способов решения. </w:t>
      </w:r>
    </w:p>
    <w:p>
      <w:pPr>
        <w:pStyle w:val="Normal"/>
        <w:numPr>
          <w:ilvl w:val="2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>Интерпретация результатов решения задачи.</w:t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 w:eastAsia="TimesNewRoman"/>
          <w:iCs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</w:r>
    </w:p>
    <w:p>
      <w:pPr>
        <w:pStyle w:val="Normal"/>
        <w:tabs>
          <w:tab w:val="left" w:pos="993" w:leader="none"/>
        </w:tabs>
        <w:spacing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eastAsia="TimesNewRoman" w:ascii="Times New Roman" w:hAnsi="Times New Roman"/>
          <w:iCs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6.3. Рекомендации по подготовке к защите курсового проекта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Курсовой проект – продукт самостоятельной работы аттестуемого по заданной теме (проблеме), направленный на решение значимой для участников КЭГ, в том числе аттестуемого и работодателей, проблемы (учебно-практической или учебно-исследовательской).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Курсовой проект оформляется в соответствии с Положением о курсовых работах, действующем на момент проведения КЭГ.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презентацией. 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оценке курсового проекта учитывается актуальность заявленной проблемы, реалистичность в описании цели и задач проекта, эффективность механизмов реализации, результативность и качество проекта.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Курсовой проект имеет следующие структурные элементы: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Титульный лист.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 работы над курсовым проектом.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Введение, в котором приводится обоснование актуальности курсового проекта, формулируются цели и задачи.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Текстовое изложение материала представляется в соответствии с блоками решаемых задач. В текстовом материале каждого блока необходимо указать ссылки на используемые источники, в том числе на организации, в которых собиралась необходимая информация. В выводах по каждому блоку желательно высказать авторскую позицию и привести комментарий по исследуемой проблеме.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Заключение.</w:t>
      </w:r>
    </w:p>
    <w:p>
      <w:pPr>
        <w:pStyle w:val="Normal"/>
        <w:numPr>
          <w:ilvl w:val="3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Список используемой литературы.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 к представлению курсового проекта необходимо продумать иллюстративный материал, способствующий более полному пониманию содержания проделанной работы и ее результатов.</w:t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i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</w:r>
    </w:p>
    <w:p>
      <w:pPr>
        <w:pStyle w:val="Normal"/>
        <w:shd w:val="clear" w:color="auto" w:fill="FFFFFF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>Примерные этапы работы над курсовым проектом: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Выбор проблемы, ее обоснование, формулирование темы.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Отбор основных источников по теме.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Составление библиографии.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Конспектирование или тезирование необходимого материала.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Систематизация зафиксированной и отобранной информации.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Определение основных понятий.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Разработка логики исследования, составление плана.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Реализация плана, написание работы.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993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Самоанализ, предполагающий новизну текста, степень раскрытия сущности проблемы, обоснованности выбора источников.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Проверка правильности оформления списка литературы.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Редакторская правка.</w:t>
      </w:r>
    </w:p>
    <w:p>
      <w:pPr>
        <w:pStyle w:val="Normal"/>
        <w:numPr>
          <w:ilvl w:val="0"/>
          <w:numId w:val="3"/>
        </w:numPr>
        <w:shd w:val="clear" w:color="auto" w:fill="FFFFFF"/>
        <w:tabs>
          <w:tab w:val="left" w:pos="1134" w:leader="none"/>
        </w:tabs>
        <w:spacing w:lineRule="auto" w:line="240" w:before="0" w:after="0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Оформление и проверка текста с точки зрения грамотности и стилистики.</w:t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bCs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</w:r>
    </w:p>
    <w:p>
      <w:pPr>
        <w:pStyle w:val="Normal"/>
        <w:shd w:val="clear" w:color="auto" w:fill="FFFFFF"/>
        <w:spacing w:before="0" w:after="0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Правила оформления курсового проекта:</w:t>
      </w:r>
    </w:p>
    <w:p>
      <w:pPr>
        <w:pStyle w:val="Normal"/>
        <w:shd w:val="clear" w:color="auto" w:fill="FFFFFF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Объем работы — не более 40 страниц. 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Работа выполняется на белых листах формата А 4 , текст размещается с одной стороны листа.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компьютерной верстке текста задаётся полуторный межстрочный интервал, шрифт-Times New Roman , размер шрифта 14.</w:t>
      </w:r>
    </w:p>
    <w:p>
      <w:pPr>
        <w:pStyle w:val="Normal"/>
        <w:shd w:val="clear" w:color="auto" w:fill="FFFFFF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ГОСТ определяет следующие требования к отпечатанному документу: на каждом листе не более 30 строк, в строке — до 60 знаков (считая пробелы между словами и знаки препинания). Поля: слева— 3 см; справа — 1,5см; сверху — 2,5см; снизу — 2,5 см. Отступ первой строки-1,27.</w:t>
      </w:r>
    </w:p>
    <w:p>
      <w:pPr>
        <w:pStyle w:val="Normal"/>
        <w:shd w:val="clear" w:color="auto" w:fill="FFFFFF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 печатается с абзацами. Заголовки и подзаголовки отделяются от основного текста сверху и снизу пробелом в один интервал.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Страницы работы должны быть пронумерованы арабскими цифрами, со сквозной нумерацией по всему тексту. Нумерация начинается с титульного листа, но номер страницы на титульном листе не проставляется. Номера страниц проставляются внизу страницы в центре без точки шрифтом №10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Главы, параграфы, пункты и подпункты (кроме введения, заключения, списка использованной литературы и приложений) нумеруются арабскими цифрами, например: глава 2, параграф 2.2, пункт 2.2.1, подпункт 1.2.2.1.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Главы (разделы) и подразделы должны иметь заголовки. Заголовки должны кратко и чётко отражать содержание соответствующей структурной части работы.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Заголовки главы, а также названия: «Содержание», «Аннотация», «Введение», «Заключение», «Приложения», «Список использованной литературы» должны располагаться в середине строки, без точки в конце. Их следует печатать прописными буквами, не подчёркивая. Переносы слов в заголовках не допускаются.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Иллюстрации, поясняющие текст, должны располагаться непосредственно после текста, в котором они упоминаются впервые, или на следующей странице, если в указанное место их разместить невозможно.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Иллюстрации должны иметь названия, которые следует помещать под иллюстрациями. Все иллюстрации (фотографии, схемы, диаграммы и т.п.), помещённые в текстовой части работы, именуются рисунками, должны быть пронумерованы сквозной нумерацией по всей работе. Все рисунки сопровождаются подрисуночной подписью непосредственно после номера рисунка. В конце наименования рисунка ставится точка. Если иллюстрация одна в работе, она не нумеруется и слово «Рисунок» под ней не пишут.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Цифровой материал больших объёмов рекомендуется помещать в Приложение в виде таблиц. Табличные данные небольшого объёма можно помещать непосредственно после текста, в котором они упоминаются впервые или на следующей странице. Таблицы, помещённые в текстовой части работы, должны быть пронумерованы сквозной нумерацией по всей работе, номер следует размещать в правом верхнем углу над содержательным заголовком таблицы после слова «Таблица». При ссылке на таблицу пользуются сокращением. Например: См. табл. 23 – смотрите таблицу 23.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случае если на одной странице таблица не размещается, продолжают её на следующей странице. В этом случае на следующей странице над таблицей производится запись «Продолжение табл. 23».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ссылке на литературный источник после упоминания о нём в тексте работы проставляют в квадратных (косых) скобках номер, под которым он значится в списке использованной литературы. При необходимости указывается страница источника, на которую производится ссылка через запятую после номера источника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Список использованной литературы составляется в алфавитном порядке фамилий авторов или названий произведений (при отсутствии фамилии автора). В списке применяется общая нумерация литературных источников. В список включаются все литературные источники, использованные автором работы независимо от того, где они опубликованы в отдельном издании, в сборнике, журнале, газете и т.д. и имеются ли в тексте ссылки на них.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Приложения оформляются как продолжение работы и размещаются в конце. Каждое приложение должно начинаться с новой страницы, в правом верхнем углу которой обозначается «Приложение». Каждое приложение должно иметь содержательный заголовок. Если в работе имеются несколько приложений, то они нумеруются. </w:t>
      </w:r>
    </w:p>
    <w:p>
      <w:pPr>
        <w:pStyle w:val="Normal"/>
        <w:tabs>
          <w:tab w:val="right" w:pos="1276" w:leader="none"/>
        </w:tabs>
        <w:spacing w:before="0" w:after="0"/>
        <w:ind w:firstLine="68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120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Критерии оценки ответов на комплексном экзамене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Оценка ответа обучающегося на комплексном экзамене определяется в ходе заседания комиссии по приему комплексного экзамена, состоящей из специалистов в области педагогики, представителей работодателя (образовательных организаций) и регионального органа управлением образования. Ответственность за создание комиссии и организацию проведения комплексного экзамена несет вуз.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Балльно-рейтинговая оценка по комплексному экзамену должна отражать уровень достигнутых образовательных результатов, аргументированность и полноту ответов, уровень мотивационной готовности.</w:t>
      </w:r>
    </w:p>
    <w:p>
      <w:pPr>
        <w:pStyle w:val="Normal"/>
        <w:spacing w:before="0" w:after="12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Комплексный экзамен оценивается по 100-балльной шкале на каждом из его трех этапов. Максимальное количество баллов за комплексный экзамен – 300 баллов (100 за каждый этап).</w:t>
      </w:r>
    </w:p>
    <w:p>
      <w:pPr>
        <w:pStyle w:val="Normal"/>
        <w:spacing w:lineRule="auto" w:line="288"/>
        <w:ind w:firstLine="709"/>
        <w:jc w:val="center"/>
        <w:rPr>
          <w:rFonts w:ascii="Times New Roman" w:hAnsi="Times New Roman"/>
          <w:b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7.1. РЕЙТИНГ-пЛАН комплексного экзамена</w:t>
      </w:r>
    </w:p>
    <w:tbl>
      <w:tblPr>
        <w:tblW w:w="9605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2942"/>
        <w:gridCol w:w="1559"/>
        <w:gridCol w:w="1417"/>
        <w:gridCol w:w="1842"/>
        <w:gridCol w:w="1845"/>
      </w:tblGrid>
      <w:tr>
        <w:trPr>
          <w:cantSplit w:val="true"/>
        </w:trPr>
        <w:tc>
          <w:tcPr>
            <w:tcW w:w="29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Компоненты экзамена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192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  <w:t>Балл за одно учебное событие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192"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  <w:t>Кол-во учебных событий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Баллы </w:t>
            </w:r>
          </w:p>
        </w:tc>
      </w:tr>
      <w:tr>
        <w:trPr>
          <w:cantSplit w:val="true"/>
        </w:trPr>
        <w:tc>
          <w:tcPr>
            <w:tcW w:w="294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5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Минимальный 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Максимальный </w:t>
            </w:r>
          </w:p>
        </w:tc>
      </w:tr>
      <w:tr>
        <w:trPr>
          <w:cantSplit w:val="true"/>
        </w:trPr>
        <w:tc>
          <w:tcPr>
            <w:tcW w:w="59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Портфолио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Успеваемость за последние 2 семестра не менее 4,5 баллов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  <w:t>Наличие достижений в спортивной деятельности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опыта и достижений в общественной деятельности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Достижения в научно-исследовательской работе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опыта профессиональной деятельности (работа вожатым, работа в рамках соисполнителя по проекту)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Опыт и достижения в культурно-творческой деятельности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>
        <w:trPr/>
        <w:tc>
          <w:tcPr>
            <w:tcW w:w="59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 по педагогике и психологии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52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</w:tr>
      <w:tr>
        <w:trPr>
          <w:cantSplit w:val="true"/>
        </w:trPr>
        <w:tc>
          <w:tcPr>
            <w:tcW w:w="59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Экзамен предметной области («</w:t>
            </w:r>
            <w:r>
              <w:rPr>
                <w:rFonts w:ascii="Times New Roman" w:hAnsi="Times New Roman"/>
                <w:sz w:val="24"/>
                <w:szCs w:val="24"/>
              </w:rPr>
              <w:t>Основы физики и математики»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курсовой работы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>
        <w:trPr/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rPr>
                <w:rFonts w:ascii="Times New Roman" w:hAnsi="Times New Roman" w:eastAsia="Times New Roman"/>
                <w:sz w:val="24"/>
                <w:szCs w:val="24"/>
              </w:rPr>
            </w:pPr>
            <w:r>
              <w:rPr>
                <w:rFonts w:eastAsia="Times New Roman" w:ascii="Times New Roman" w:hAnsi="Times New Roman"/>
                <w:sz w:val="24"/>
                <w:szCs w:val="24"/>
              </w:rPr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165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0"/>
              <w:jc w:val="center"/>
              <w:rPr>
                <w:rFonts w:ascii="Times New Roman" w:hAnsi="Times New Roman" w:eastAsia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Результаты решения комиссии могут определяться оценками «отлично», «хорошо», «удовлетворительно», «неудовлетворительно».</w:t>
      </w:r>
    </w:p>
    <w:p>
      <w:pPr>
        <w:pStyle w:val="Normal"/>
        <w:spacing w:before="0" w:after="0"/>
        <w:ind w:firstLine="709"/>
        <w:rPr>
          <w:rFonts w:ascii="Times New Roman" w:hAnsi="Times New Roman" w:eastAsia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Оценивание по каждому компоненту экзамена: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55–70 баллов– «удовлетворительно»;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71–85 баллов– «хорошо»;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86–100 баллов– «отлично».</w:t>
      </w:r>
    </w:p>
    <w:p>
      <w:pPr>
        <w:pStyle w:val="Normal"/>
        <w:spacing w:before="0" w:after="0"/>
        <w:ind w:firstLine="709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Итоговая оценка: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165-210 баллов – «удовлетворительно»;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213-255 баллов – «хорошо»;</w:t>
      </w:r>
    </w:p>
    <w:p>
      <w:pPr>
        <w:pStyle w:val="Normal"/>
        <w:spacing w:before="0" w:after="0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258 – 300 баллов – «отлично».</w:t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7.2.1 Критерии оценки тестирования по модулю «Педагогика и психология»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Тестирование</w:t>
      </w:r>
    </w:p>
    <w:p>
      <w:pPr>
        <w:pStyle w:val="Normal"/>
        <w:spacing w:before="0" w:after="0"/>
        <w:ind w:firstLine="70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Содержание теста основано на содержании рабочих программ по дисциплинам модуля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</w:rPr>
        <w:t>Педагогика и психология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» и программы КЭГ.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Длина теста – 26 заданий.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Первая часть: тест однородный. Максимальный балл за каждое задание – 1 балл. Весовой коэффициент равен 2. Максимальный балл за тест составляет 52 балла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(26 ×2 = 52)..</w:t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598"/>
        <w:gridCol w:w="2493"/>
        <w:gridCol w:w="4264"/>
      </w:tblGrid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44 - 52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36 - 43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29 - 35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29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7.2.2. Критерии оценивания кейса (контекстной задачи) </w:t>
      </w:r>
    </w:p>
    <w:p>
      <w:pPr>
        <w:pStyle w:val="Normal"/>
        <w:spacing w:before="0" w:after="0"/>
        <w:ind w:firstLine="709"/>
        <w:jc w:val="center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 модулю «Педагогика и психология»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решению кейса (контекстной задачи) предъявляются следующие требования: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обоснованность аргументов и итоговых выводов на научно обоснованных фактах;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выделение противоречий в рассматриваемых позициях;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раскрытие и обоснование каждой из представленных точек зрения;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четкая формулировка собственных выводов;</w:t>
      </w:r>
    </w:p>
    <w:p>
      <w:pPr>
        <w:pStyle w:val="Normal"/>
        <w:numPr>
          <w:ilvl w:val="0"/>
          <w:numId w:val="5"/>
        </w:numPr>
        <w:tabs>
          <w:tab w:val="left" w:pos="993" w:leader="none"/>
        </w:tabs>
        <w:spacing w:before="0"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описание возможных перспектив развития ситуации.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>Выполнение кейса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</w:p>
    <w:p>
      <w:pPr>
        <w:pStyle w:val="Normal"/>
        <w:tabs>
          <w:tab w:val="left" w:pos="3480" w:leader="none"/>
        </w:tabs>
        <w:spacing w:before="0"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Вторая часть испытания содержит 2 кейс-задания. Максимальный балл за каждый кейс - 6 баллов (два задания в каждом кейсе, каждое задание по 3 балла). Весовой коэффициент равен 4. Максимальный балл за все кейс-задания составляет 48 баллов (12 ×4 = 48).</w:t>
      </w:r>
    </w:p>
    <w:p>
      <w:pPr>
        <w:pStyle w:val="Normal"/>
        <w:spacing w:before="0" w:after="0"/>
        <w:ind w:firstLine="709"/>
        <w:jc w:val="both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Оценка производится на основании следующих критериев:</w:t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598"/>
        <w:gridCol w:w="2493"/>
        <w:gridCol w:w="4264"/>
      </w:tblGrid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41 - 48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34 - 40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26 - 33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26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7.3.Критерии оценивания защиты курсового работы</w:t>
      </w:r>
    </w:p>
    <w:p>
      <w:pPr>
        <w:pStyle w:val="Normal"/>
        <w:spacing w:lineRule="auto" w:line="360" w:before="0" w:after="0"/>
        <w:ind w:firstLine="709"/>
        <w:jc w:val="both"/>
        <w:rPr>
          <w:rFonts w:ascii="Times New Roman" w:hAnsi="Times New Roman"/>
          <w:b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</w:r>
    </w:p>
    <w:tbl>
      <w:tblPr>
        <w:tblW w:w="5000" w:type="pct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2277"/>
        <w:gridCol w:w="2299"/>
        <w:gridCol w:w="2298"/>
        <w:gridCol w:w="2480"/>
      </w:tblGrid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70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Алгоритм оценивания (уровни)</w:t>
            </w:r>
          </w:p>
        </w:tc>
      </w:tr>
      <w:tr>
        <w:trPr/>
        <w:tc>
          <w:tcPr>
            <w:tcW w:w="2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1.Степень представления</w:t>
            </w:r>
            <w:r>
              <w:rPr>
                <w:rFonts w:eastAsia="Times New Roman" w:ascii="Times New Roman" w:hAnsi="Times New Roman"/>
                <w:sz w:val="24"/>
                <w:szCs w:val="24"/>
              </w:rPr>
              <w:t xml:space="preserve"> сути поставленной проблемы.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оптимальный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допустимый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критический</w:t>
            </w:r>
          </w:p>
        </w:tc>
      </w:tr>
      <w:tr>
        <w:trPr>
          <w:trHeight w:val="937" w:hRule="atLeast"/>
        </w:trPr>
        <w:tc>
          <w:tcPr>
            <w:tcW w:w="227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Суть проблемы исследования формулирует верно и развернуто. </w:t>
            </w:r>
          </w:p>
        </w:tc>
        <w:tc>
          <w:tcPr>
            <w:tcW w:w="22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Анализирует состояние проблемы на момент исследования. Описывает отдельные аспекты результатов научных исследований.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Суть проблемы исследования раскрывает не полностью.</w:t>
            </w:r>
          </w:p>
        </w:tc>
      </w:tr>
      <w:tr>
        <w:trPr>
          <w:trHeight w:val="308" w:hRule="atLeast"/>
        </w:trPr>
        <w:tc>
          <w:tcPr>
            <w:tcW w:w="227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229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before="0" w:after="200"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</w:r>
          </w:p>
        </w:tc>
      </w:tr>
      <w:tr>
        <w:trPr>
          <w:trHeight w:val="308" w:hRule="atLeast"/>
        </w:trPr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2.Корректное представление методологического аппарата исследования.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hd w:val="clear" w:color="auto" w:fill="FFFFFF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Грамотно формулирует методологический аппарат исследования (цель, задачи, гипотеза исследования) и обосновывает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выбор методов исследования.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Допускает ошибки в формулировке основных категорий методологического аппарата исследования. Не четко дает обоснование инструментария, выбранного для проведения исследования.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Допускает ошибки в формулировке основных категорий методологического аппарата исследования или представляет его структурные единицы не полностью. Не дает обоснование инструментария, выбранного для проведения исследования.</w:t>
            </w:r>
          </w:p>
        </w:tc>
      </w:tr>
      <w:tr>
        <w:trPr>
          <w:trHeight w:val="1300" w:hRule="atLeast"/>
        </w:trPr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3.Степень представления понятийно-терминологического аппарата  исследования.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Верно использует терминологический аппарат  исследования  и </w:t>
            </w:r>
            <w:r>
              <w:rPr>
                <w:rFonts w:ascii="Times New Roman" w:hAnsi="Times New Roman"/>
                <w:sz w:val="24"/>
                <w:szCs w:val="24"/>
                <w:shd w:fill="FAFAFA" w:val="clear"/>
              </w:rPr>
              <w:t>свободно ориентируется в терминологической системе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Приводит формулировки большинства понятий и терминов, необходимых для исследования.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Приводит формулировки некоторых понятий и терминов, необходимых для исследования.</w:t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4.Степень проведения анализа научной и (или методической) литературы по исследуемой проблеме.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Представлен качественный критический анализ литературы по проблеме исследования: рассмотрены различные точки зрения на поставленную проблему и о</w:t>
            </w:r>
            <w:r>
              <w:rPr>
                <w:rFonts w:ascii="Times New Roman" w:hAnsi="Times New Roman"/>
                <w:sz w:val="24"/>
                <w:szCs w:val="24"/>
              </w:rPr>
              <w:t>пределены рациональные идеи для решения поставленных задач.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 Корректно оформляет список литературы.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теоретического материала по теме исследования представляет фрагментарно, рассмотрены отдельные точки зрения на поставленную проблему. Определены идеи для решения поставленных задач. Список литературы оформляет с незначительными нарушениями ГОСТа. В процессе анализа  теоретического материала по теме исследования рассмотрены разные точки зрения на поставленную проблему. Определены идеи для решения поставленных задач. Список литературы оформляет с незначительными нарушениями ГОСТа.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владеет навыками критического анализа специальной литературы. Идеи решения поставленных задач четко не выделены. Список литературы оформляет с незначительными нарушениями ГОСТа.</w:t>
              <w:br/>
              <w:t>Анализ теоретического материала по теме исследования представляет фрагментарно.  Идеи решения поставленных задач четко не выделены. Список литературы оформляет с незначительными нарушениями ГОСТа</w:t>
            </w:r>
          </w:p>
          <w:p>
            <w:pPr>
              <w:pStyle w:val="Normal"/>
              <w:spacing w:lineRule="auto" w:line="276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spacing w:lineRule="auto" w:line="276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spacing w:lineRule="auto" w:line="276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olor w:val="FF0000"/>
                <w:sz w:val="24"/>
                <w:szCs w:val="24"/>
              </w:rPr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/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5.Логика построения исследования (проектирования).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hd w:val="clear" w:color="auto" w:fill="FFFFFF"/>
              <w:spacing w:before="0" w:after="200"/>
              <w:rPr>
                <w:rFonts w:ascii="Times New Roman" w:hAnsi="Times New Roman" w:eastAsia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Этапы исследования </w:t>
            </w:r>
            <w:r>
              <w:rPr>
                <w:rFonts w:ascii="Times New Roman" w:hAnsi="Times New Roman"/>
                <w:sz w:val="24"/>
                <w:szCs w:val="24"/>
                <w:shd w:fill="FFFFFF" w:val="clear"/>
              </w:rPr>
              <w:t xml:space="preserve">описывает в соответствии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 xml:space="preserve">с логикой научного исследования 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Излагает материал с несущественными нарушениями логичности и последовательности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 курсовой работы излагает с нарушениями необходимой последовательности и логичности.</w:t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6.Степень решения поставленных задач исследования.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работе решены все задачи, обоснованы различные точки зрения на поставленную проблему. Выводы соответствуют задачам исследования, аргументированы и конкретны.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представлена и обоснована методика экспериментального исследования; получен</w:t>
              <w:softHyphen/>
              <w:t xml:space="preserve">ный в ходе исследования фактический материал подвергнут статистической обработке, систематизирован и обобщен в виде методических рекомендаций, программ, моделей и т. п. 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исследовании частично решены поставленные задачи, обоснованы лишь некоторые точки зрения на решение проблемы. Допущены  неточности в формулировке выводов.  В курсовой работе, предусматривающей экспериментальную часть исследования, приведена методика проведения эксперимента. Фактический материал, полученный в ходе констатирующего исследования, не обобщен в виде методических рекомендаций, программ, моделей и т. п.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решена большая часть задач, неубедительно представлена доказательная база. Выводы не представлены или не соответствуют поставленным задачам.</w:t>
            </w:r>
          </w:p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не отражены результаты опытно-практической и экспериментальной работы или отражены частично.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</w:tr>
      <w:tr>
        <w:trPr>
          <w:trHeight w:val="983" w:hRule="atLeast"/>
        </w:trPr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7.Степень самостоятельности в проведении исследования.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выполнено самостоятельно. Прослеживается личный вклад студента в разработку темы.</w:t>
            </w:r>
          </w:p>
          <w:p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реализован самостоятельный подход к разработке программы (плана) эксперимента.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выполнено самостоятельно только на основе плана и рекомендаций руководителя.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экспериментальную часть исследования, составление плана и сам эксперимент выполнены под непосредственным руководством преподавателя или обработка результатов</w:t>
            </w:r>
            <w:r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выполнены с помощью преподавателя.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Курсовая работа носит реферативный характер. Позиция студента по существу исследуемых вопросов отсутствует.</w:t>
            </w:r>
          </w:p>
          <w:p>
            <w:pPr>
              <w:pStyle w:val="Normal"/>
              <w:spacing w:lineRule="auto" w:line="2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курсовой работе, предусматривающей проведение эксперимента,  экспериментальная часть  работы  не выполнена или выполнена некорректно.</w:t>
            </w:r>
          </w:p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Степень самостоятельности незначительная.</w:t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  <w:vAlign w:val="cente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8.Прикладной аспект исследования.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tabs>
                <w:tab w:val="left" w:pos="5340" w:leader="none"/>
              </w:tabs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перспективы использования полученных результатов и рекомендаций в исследуемой предметной области.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некоторые способы практического применения результатов в исследуемой предметной области.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color="auto" w:fill="FFFFFF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выделяет прикладные аспекты дальнейшего исследования</w:t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rFonts w:ascii="Times New Roman" w:hAnsi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 Степень 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fill="FFFFFF" w:val="clear"/>
              </w:rPr>
              <w:t>формления и стиль проведенного исследования.</w:t>
            </w:r>
          </w:p>
          <w:p>
            <w:pPr>
              <w:pStyle w:val="Normal"/>
              <w:spacing w:before="0" w:after="20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Владеет научным стилем письменной речи. Соблюдает требования, предъявляемые к структуре  и объему курсовой работы.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Применяет отдельные элементы научного стиля письменной речи.  Допускает несущественные ошибки в структуре курсовой  работы.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владеет приемами изложения  текста в научном стиле. Допускает существенные ошибки в оформлении работы.</w:t>
            </w:r>
          </w:p>
        </w:tc>
      </w:tr>
      <w:tr>
        <w:trPr/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10.Качество представления курсовой работы  на защите.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Содержание презентации соответствует теме и содержанию курсовой работы. Четко, последовательно и логично  излагает суть исследования, свободно владеет материалом. Умеет вести диалог и давать комментарии в ходе ответов на вопросы.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Содержание презентации отражает  отдельные результаты  курсовой работы. Логично излагает материал, но не достаточно уверенно отвечает на вопросы в ходе защиты.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bidi w:val="0"/>
              <w:spacing w:lineRule="auto" w:line="276" w:before="0" w:after="20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Презентация не  отражает   основного содержания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курсовой работы. </w:t>
            </w:r>
            <w:r>
              <w:rPr>
                <w:rFonts w:ascii="Times New Roman" w:hAnsi="Times New Roman"/>
                <w:sz w:val="24"/>
                <w:szCs w:val="24"/>
              </w:rPr>
              <w:t>Затрудняется в ответах на поставленные вопросы по теме, при ответе допускает существенные ошибки.</w:t>
            </w:r>
          </w:p>
        </w:tc>
      </w:tr>
    </w:tbl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Примечание. 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1) Оценка сформированности компетенций осуществляется на основе 10 критериев и соответствующих индикаторов.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2) Каждый критерий раскрывается через показатели (индикаторы), позволяющие установить уровень сформированности компетенций: </w:t>
      </w:r>
    </w:p>
    <w:p>
      <w:pPr>
        <w:pStyle w:val="Normal"/>
        <w:spacing w:before="0" w:after="0"/>
        <w:rPr>
          <w:rFonts w:ascii="Times New Roman" w:hAnsi="Times New Roman"/>
          <w:b/>
          <w:b/>
          <w:i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оптимальный, допустимый, критический, недопустимый.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3) Выполнение каждого критерия оценивается по 10</w:t>
      </w:r>
      <w:r>
        <w:rPr>
          <w:rFonts w:ascii="Times New Roman" w:hAnsi="Times New Roman"/>
          <w:b/>
          <w:i/>
          <w:sz w:val="24"/>
          <w:szCs w:val="24"/>
        </w:rPr>
        <w:t>-балльной шкале</w:t>
      </w:r>
      <w:r>
        <w:rPr>
          <w:rFonts w:ascii="Times New Roman" w:hAnsi="Times New Roman"/>
          <w:i/>
          <w:sz w:val="24"/>
          <w:szCs w:val="24"/>
        </w:rPr>
        <w:t>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4) Итоговая оценка по всем 10 критериям получается суммированием баллов по каждому критерию.</w:t>
      </w:r>
    </w:p>
    <w:p>
      <w:pPr>
        <w:pStyle w:val="Normal"/>
        <w:spacing w:before="0" w:after="0"/>
        <w:rPr>
          <w:rFonts w:ascii="Times New Roman" w:hAnsi="Times New Roman"/>
          <w:i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</w:r>
    </w:p>
    <w:p>
      <w:pPr>
        <w:pStyle w:val="Normal"/>
        <w:spacing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Таблица. Определение уровня сформированности компетенций у выпускников на защите курсовой работы и оценка курсовой работы  в баллах.</w:t>
      </w:r>
    </w:p>
    <w:tbl>
      <w:tblPr>
        <w:tblW w:w="9606" w:type="dxa"/>
        <w:jc w:val="lef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912"/>
        <w:gridCol w:w="2801"/>
        <w:gridCol w:w="4893"/>
      </w:tblGrid>
      <w:tr>
        <w:trPr/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Уровни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Границы суммарной оценки (за 10 критериев)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критериев</w:t>
            </w:r>
          </w:p>
        </w:tc>
      </w:tr>
      <w:tr>
        <w:trPr/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Оптимальный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85 - 100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>
        <w:trPr/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84 - 70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>
        <w:trPr/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55 - 69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55%</w:t>
            </w:r>
          </w:p>
        </w:tc>
      </w:tr>
      <w:tr>
        <w:trPr/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contextualSpacing/>
              <w:jc w:val="center"/>
              <w:rPr>
                <w:rFonts w:ascii="Times New Roman" w:hAnsi="Times New Roman"/>
                <w:b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Меньше 55</w:t>
            </w:r>
          </w:p>
        </w:tc>
        <w:tc>
          <w:tcPr>
            <w:tcW w:w="4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55%</w:t>
            </w:r>
          </w:p>
        </w:tc>
      </w:tr>
    </w:tbl>
    <w:p>
      <w:pPr>
        <w:pStyle w:val="Normal"/>
        <w:spacing w:before="0"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Перечень литературы для подготовки к государственному экзамену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8.1. Основная литература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  <w:tab/>
        <w:t>Бордовская Н.В. Педагогика: учебное пособие для студентов вузов: Допущено учебно-методическим объединением вузов России /Бордовская Н.В., Реан А.А.. –  СПб: Питер, 2013. – 299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  <w:tab/>
        <w:t>Педагогика: учеб. пособие для студентов высших учебных заведений педагогических специальностей и направлений /Под редакцией Л.В.Загрековой, В.В.Николиной. – Н.Новгород: НГПУ, 2014. – 232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  <w:tab/>
        <w:t>Педагогика: учебное пособие для студентов вузов: Допущено Министерством образования Российской Федерации /Под ред. Крившенко. – М.: Проспект, 2012. – 432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</w:t>
        <w:tab/>
        <w:t>Трофимова Т.И. Физика. Задачи: учеб.пособие для студентов вузов, обуч-ся по техн.напр. Москва: Академия, 2015.-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336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</w:t>
        <w:tab/>
        <w:t>Трофимова Т.И. Физика: учеб.для студентов вузов:рек.ФГОУ высшего проф.образования. Москва: Академия, 2013.-352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  <w:tab/>
        <w:t>Полькина Е.А., Стакун Н.С. Сборник заданий по высшей математике с образцами решений (математический анализ): Учеб.-метод.пособие, Москва: Прометей, 2013.-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200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</w:t>
        <w:tab/>
        <w:t>Будаев В.Д., Якубсон М.Я. Математический анализ. Функции одной переменной: учеб.для студентов вузов:допущено УМО по напр.пед.образования М-ва образования и науки РФ, Санкт-Петербург: Лань, 2012.-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544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</w:t>
        <w:tab/>
        <w:t>Зимина О.В. Линейная алгебра и аналитическая геометрия, Учеб.комплекс: учеб.пособие для студ.вузов: Рек.НМС по математике М-ва образования и науки РФ: Ростов на Дону: Феникс, 2015.-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377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Маклаков А.Г. Общая психология</w:t>
      </w:r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Учеб. пособие для студентов вузов и слушателей курсов психол. дисциплин: Рек. Учеб.-метод. советом по базовому психол. образованию, Санкт-Петербург: Питер 2014.-583с.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Педагогическая психология: учеб. для акад. бакалавриата: Рек.УМО высш.образования: В 2 ч. Ч.1 / Савенков Александр Ильич. - 3-е изд.,перераб.и доп. - Москва : Юрайт, 2017. - 317 с. 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Психология: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учебник для студентов вузов: допущено М-вом образования и науки РФ/ Под общ. ред. В.А. Сластенина, А.С. Обухова. - М.:Юрайт, 2013. - 530 с.</w:t>
      </w:r>
    </w:p>
    <w:p>
      <w:pPr>
        <w:pStyle w:val="ListParagraph"/>
        <w:numPr>
          <w:ilvl w:val="0"/>
          <w:numId w:val="7"/>
        </w:numPr>
        <w:spacing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Психология развития и возрастная психология</w:t>
      </w:r>
      <w:r>
        <w:rPr>
          <w:rFonts w:ascii="Times New Roman" w:hAnsi="Times New Roman"/>
          <w:sz w:val="24"/>
          <w:szCs w:val="24"/>
        </w:rPr>
        <w:t>: учеб.и практикум для прикл.бакалавриата: учеб.для студентов вузов, обуч-ся по гуманит.напр.и спец.: Рек.УМО высш.образования / Под общ.ред. Л.А. Головей. - Москва : Юрайт, 2016.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/>
          <w:b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8.2. Дополнительная литература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Акулова О.В и др. Компетентностная модель современного педагога: учеб.-метод. Пособие. – СПб., 2007.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Борытко Н.М. Педагогика: учебное пособие для студентов вузов: Рекомендовано учебно-методическим объединением вузов России. М.: Академия, 2007. – 492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Бухвалов, В. А. Педагогическая экспертиза школы : пособие для методистов, завучей и директоров школ / В. А. Бухвалов, Я. Г. Плинер. - М. : Педагогический поиск, 2000. – 160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 в педагогическую деятельность: учебное пособие для студентов вузов: рекомендовано учебно-методическим объединением по специальностям педагогического образования /Под ред. А.С. Роботовой. – М.: Академия, 2007. – 219 с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Воспитательная деятельность педагога: учебное пособие / под общей редакцией В.А.Сластенина, И.А.Колесниковой.- 3-е издание.- М.: Академия, 2008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Галанов, А. С. Как пройти аттестацию : советы психолога учителю / А. С. Галанов. - М. : Издательство Института Психотерапии, 2011. - 149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Данилюк А.М., Кондаков В.А., Тишков. Концепция духовно-нравственного развития и воспитания личности гражданина России. – М.: Просвещение, 2009.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Загвязинский В.И. Общая педагогика: учебное пособие для студентов вузов России / Загвязинский В.И., Емельянова И.Н. – М.: Высшая школа, 2008. – 391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Закон «Об образовании в Российской Федерации». – М.: ООО «Изд-во Астрель», 2013.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Зубов, Н. Как руководить педагогами : пособие для руководителей образовательных учреждений / Н. Зубов. - 2-е изд. , испр. , доп. - М. : АРКТИ, 2013. - 139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Конаржевский, Ю. А. Менеджмент и внутришкольное управление / Ю. А. Конаржевский. - М. : Педагогический поиск, 2010. - 222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Крулехт, М. В. Экспертные оценки в образовании : учебное пособие для вузов / М. В. Крулехт, И. В. Тельнюк. - М. : Академия, 2002. – 110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Лизинский, В. М. О методической работе в школе / В. М. Лизинский. - М. : Педагогический поиск, 2002. - 160 с.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Матяш Н.В. Инновационные педагогические технологии. Проектное обучение: Учеб. пособие для студентов учреждений высш. проф. образования / Н.В.Матяш.- М.: Академия, 2011.- 144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Осмоловская И.М. Словесные методы обучения: Учеб. пособие для студентов вузов, обуч-ся по пед. спец. / И.М.Осмоловская.- М.: Академия, 2008.- 171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Панфилова  А.П. Инновационные педагогические технологии. Активное обучение: учеб. пособие для студентов вузов: рек. УМО по напр. пед. образования /А.Н.Панфилова.- М.: Академия, 2009.- 192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Педагогические технологии: Учеб. пособие для студентов пед.  спец. / М.В. Буланова-Топоркова, А.В.Духавнева, В.С.Кукушин, Г.В.Сучков; Под общ. ред. В.С.Кукушина.- 4-е изд., перераб. и доп.- М.; Р н/Д: МарТ, 2010.- 333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Полат Е.С. Современные педагогические и информационные технологии в системе образования: Учеб. пособие для студентов вузов: Рек. УМО по спец. пед. образования / Е.С.Полат, М.Ю.Бухаркина.- 2-е изд., стереотип.- М.: Академия, 2008.- 365 с.-(Высшее профессиональное образование 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 w:eastAsia="Times New Roman"/>
          <w:b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Скок, Г.Б. Как проанализировать собственную педагогическую деятельность : учебное пособие / Г. Б. Скок. - 2-е изд. - М. : Педагогическое общество России, 2000. – 101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Современные образовательные технологии: Учеб. пособие для студентов, магистрантов, аспирантов, шк. педагогов и вуз. Преподавателей: Рек. Науч.-метод. советом М-ва образования и науки по психологии и педагогике / Под ред. Н.В.Бордовской.- М.: КноРус, 2010.- 232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Федеральный государственный стандарт основного общего образования. / РАН, РАО; под ред. В.В. Козлова, А.М. Кондакова – М.Просвещение, 2011. – 79с.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Фундаментальное ядро содержания общего образования / под ред. В.В.Козлова, А.М.Кондакова. – М.:Просвещение, 2011.- 33с.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Ильин В.А., Ким Г.Д. Линейная алгебра и аналитическая геометрия: учеб.для студентов ун-тов и техн.вузов:допущено М-вом образования и науки РФ, Москва: Проспект, 2012.-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400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Кадомцев С.Б. Аналитическая геометрия и линейная алгебра, Москва: Физматлит, 2011.-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168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Понтрягин Л.С. Дифференциальные уравнения и их приложения, Москва: УРСС, 2011.-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208 с.</w:t>
      </w:r>
    </w:p>
    <w:p>
      <w:pPr>
        <w:pStyle w:val="ListParagraph"/>
        <w:numPr>
          <w:ilvl w:val="0"/>
          <w:numId w:val="6"/>
        </w:numPr>
        <w:spacing w:lineRule="auto" w:line="240" w:before="0" w:after="0"/>
        <w:ind w:left="0" w:hanging="0"/>
        <w:contextualSpacing/>
        <w:jc w:val="both"/>
        <w:rPr/>
      </w:pPr>
      <w:r>
        <w:rPr>
          <w:rFonts w:ascii="Times New Roman" w:hAnsi="Times New Roman"/>
          <w:sz w:val="24"/>
          <w:szCs w:val="24"/>
        </w:rPr>
        <w:t>Гурова З.И., Каролинская С.Н. Математический анализ. Начальный курс с примерами и задачами, учеб.пособие для студентов:рек.УМО вузов РФ, Москва: Физматлит, 2007.-</w:t>
      </w:r>
      <w:r>
        <w:rPr/>
        <w:t xml:space="preserve"> </w:t>
      </w:r>
      <w:r>
        <w:rPr>
          <w:rFonts w:ascii="Times New Roman" w:hAnsi="Times New Roman"/>
          <w:sz w:val="24"/>
          <w:szCs w:val="24"/>
        </w:rPr>
        <w:t>351 с.</w:t>
      </w:r>
    </w:p>
    <w:sectPr>
      <w:footnotePr>
        <w:numFmt w:val="decimal"/>
      </w:footnotePr>
      <w:type w:val="nextPage"/>
      <w:pgSz w:w="11906" w:h="16838"/>
      <w:pgMar w:left="1701" w:right="850" w:header="0" w:top="1134" w:footer="0" w:bottom="1134" w:gutter="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imes New Roman">
    <w:charset w:val="01"/>
    <w:family w:val="roman"/>
    <w:pitch w:val="variable"/>
  </w:font>
  <w:font w:name="Tahoma">
    <w:charset w:val="01"/>
    <w:family w:val="roman"/>
    <w:pitch w:val="variable"/>
  </w:font>
  <w:font w:name="TimesET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Symbol">
    <w:charset w:val="02"/>
    <w:family w:val="auto"/>
    <w:pitch w:val="default"/>
  </w:font>
  <w:font w:name="Courier New">
    <w:charset w:val="01"/>
    <w:family w:val="auto"/>
    <w:pitch w:val="default"/>
  </w:font>
  <w:font w:name="Wingdings">
    <w:charset w:val="02"/>
    <w:family w:val="auto"/>
    <w:pitch w:val="default"/>
  </w:font>
</w:fonts>
</file>

<file path=word/footnotes.xml><?xml version="1.0" encoding="utf-8"?>
<w:footnotes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footnote w:id="0" w:type="separator">
    <w:p>
      <w:r>
        <w:separator/>
      </w:r>
    </w:p>
  </w:footnote>
  <w:footnote w:id="1" w:type="continuationSeparator">
    <w:p>
      <w:r>
        <w:continuationSeparator/>
      </w:r>
    </w:p>
  </w:footnote>
  <w:footnote w:id="2">
    <w:p>
      <w:pPr>
        <w:pStyle w:val="Normal"/>
        <w:spacing w:lineRule="auto" w:line="240" w:before="0" w:after="0"/>
        <w:jc w:val="both"/>
        <w:rPr/>
      </w:pPr>
      <w:r>
        <w:rPr>
          <w:rStyle w:val="Style21"/>
        </w:rPr>
        <w:footnoteRef/>
      </w:r>
      <w:r>
        <w:rPr>
          <w:rStyle w:val="Style21"/>
        </w:rPr>
        <w:tab/>
      </w:r>
      <w:r>
        <w:rPr>
          <w:rStyle w:val="FootnoteCharacters"/>
        </w:rPr>
        <w:tab/>
      </w:r>
      <w:r>
        <w:rPr>
          <w:rFonts w:ascii="Times New Roman" w:hAnsi="Times New Roman"/>
        </w:rPr>
        <w:t xml:space="preserve"> Допускается приводить не полный перечень компетенций, формируемых в рамках освоения ОПОП и регламентируемых ФГОС ВО (ФГОС ВПО).</w:t>
      </w:r>
    </w:p>
  </w:footnote>
  <w:footnote w:id="3">
    <w:p>
      <w:pPr>
        <w:pStyle w:val="Normal"/>
        <w:spacing w:lineRule="auto" w:line="240" w:before="0" w:after="0"/>
        <w:jc w:val="both"/>
        <w:rPr/>
      </w:pPr>
      <w:r>
        <w:rPr>
          <w:rStyle w:val="Style21"/>
        </w:rPr>
        <w:footnoteRef/>
      </w:r>
      <w:r>
        <w:rPr>
          <w:rStyle w:val="Style21"/>
        </w:rPr>
        <w:tab/>
      </w:r>
      <w:r>
        <w:rPr>
          <w:rStyle w:val="FootnoteCharacters"/>
        </w:rPr>
        <w:tab/>
      </w:r>
      <w:r>
        <w:rPr>
          <w:rFonts w:ascii="Times New Roman" w:hAnsi="Times New Roman"/>
        </w:rPr>
        <w:t xml:space="preserve"> Наименование разделов может соответствовать дисциплинам, включенных в программу  комплексного экзамена, либо может представлять собой комплексные темы междисциплинарного характера.</w:t>
      </w:r>
    </w:p>
  </w:footnote>
</w:footnote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sz w:val="24"/>
        <w:rFonts w:cs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  <w:rFonts w:cs="Wingdings"/>
      </w:rPr>
    </w:lvl>
  </w:abstractNum>
  <w:abstractNum w:abstractNumId="2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rFonts w:cs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  <w:rFonts w:cs="Wingdings"/>
      </w:rPr>
    </w:lvl>
  </w:abstractNum>
  <w:abstractNum w:abstractNumId="3"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sz w:val="24"/>
        <w:rFonts w:cs="Symbol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  <w:rFonts w:cs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  <w:rFonts w:cs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  <w:rFonts w:cs="Wingdings"/>
      </w:rPr>
    </w:lvl>
  </w:abstractNum>
  <w:abstractNum w:abstractNumId="5"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cs="Symbol" w:hint="default"/>
        <w:sz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lvl w:ilvl="0">
      <w:start w:val="1"/>
      <w:numFmt w:val="decimal"/>
      <w:lvlText w:val="%1."/>
      <w:lvlJc w:val="left"/>
      <w:pPr>
        <w:ind w:left="1429" w:hanging="360"/>
      </w:pPr>
      <w:rPr>
        <w:sz w:val="24"/>
        <w:i w:val="false"/>
        <w:b/>
        <w:rFonts w:ascii="Times New Roman" w:hAnsi="Times New Roman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lvl w:ilvl="0">
      <w:start w:val="10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w="http://schemas.openxmlformats.org/wordprocessingml/2006/main">
  <w:zoom w:percent="100"/>
  <w:defaultTabStop w:val="708"/>
  <w:footnotePr>
    <w:numFmt w:val="decimal"/>
    <w:footnote w:id="0"/>
    <w:footnote w:id="1"/>
  </w:footnotePr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e5d3a"/>
    <w:pPr>
      <w:widowControl/>
      <w:bidi w:val="0"/>
      <w:spacing w:lineRule="auto" w:line="276" w:before="0" w:after="200"/>
      <w:jc w:val="left"/>
    </w:pPr>
    <w:rPr>
      <w:rFonts w:ascii="Calibri" w:hAnsi="Calibri" w:eastAsia="Calibri" w:cs="Times New Roman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>
    <w:name w:val="Привязка сноски"/>
    <w:rPr>
      <w:vertAlign w:val="superscript"/>
    </w:rPr>
  </w:style>
  <w:style w:type="character" w:styleId="FootnoteCharacters">
    <w:name w:val="Footnote Characters"/>
    <w:uiPriority w:val="99"/>
    <w:semiHidden/>
    <w:unhideWhenUsed/>
    <w:qFormat/>
    <w:rsid w:val="006e6470"/>
    <w:rPr>
      <w:vertAlign w:val="superscript"/>
    </w:rPr>
  </w:style>
  <w:style w:type="character" w:styleId="Style15" w:customStyle="1">
    <w:name w:val="Обычный (веб) Знак"/>
    <w:link w:val="a3"/>
    <w:uiPriority w:val="99"/>
    <w:qFormat/>
    <w:locked/>
    <w:rsid w:val="006e6470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Annotationreference">
    <w:name w:val="annotation reference"/>
    <w:uiPriority w:val="99"/>
    <w:semiHidden/>
    <w:unhideWhenUsed/>
    <w:qFormat/>
    <w:rsid w:val="006f13a9"/>
    <w:rPr>
      <w:sz w:val="16"/>
      <w:szCs w:val="16"/>
    </w:rPr>
  </w:style>
  <w:style w:type="character" w:styleId="Style16" w:customStyle="1">
    <w:name w:val="Текст примечания Знак"/>
    <w:link w:val="a7"/>
    <w:uiPriority w:val="99"/>
    <w:semiHidden/>
    <w:qFormat/>
    <w:rsid w:val="006f13a9"/>
    <w:rPr>
      <w:rFonts w:ascii="Calibri" w:hAnsi="Calibri" w:eastAsia="Calibri" w:cs="Times New Roman"/>
      <w:sz w:val="20"/>
      <w:szCs w:val="20"/>
    </w:rPr>
  </w:style>
  <w:style w:type="character" w:styleId="Style17" w:customStyle="1">
    <w:name w:val="Тема примечания Знак"/>
    <w:link w:val="a9"/>
    <w:uiPriority w:val="99"/>
    <w:semiHidden/>
    <w:qFormat/>
    <w:rsid w:val="006f13a9"/>
    <w:rPr>
      <w:rFonts w:ascii="Calibri" w:hAnsi="Calibri" w:eastAsia="Calibri" w:cs="Times New Roman"/>
      <w:b/>
      <w:bCs/>
      <w:sz w:val="20"/>
      <w:szCs w:val="20"/>
    </w:rPr>
  </w:style>
  <w:style w:type="character" w:styleId="Style18" w:customStyle="1">
    <w:name w:val="Текст выноски Знак"/>
    <w:link w:val="ab"/>
    <w:uiPriority w:val="99"/>
    <w:semiHidden/>
    <w:qFormat/>
    <w:rsid w:val="006f13a9"/>
    <w:rPr>
      <w:rFonts w:ascii="Tahoma" w:hAnsi="Tahoma" w:eastAsia="Calibri" w:cs="Tahoma"/>
      <w:sz w:val="16"/>
      <w:szCs w:val="16"/>
    </w:rPr>
  </w:style>
  <w:style w:type="character" w:styleId="FontStyle37" w:customStyle="1">
    <w:name w:val="Font Style37"/>
    <w:qFormat/>
    <w:rsid w:val="00ad3b52"/>
    <w:rPr>
      <w:rFonts w:ascii="Times New Roman" w:hAnsi="Times New Roman" w:cs="Times New Roman"/>
      <w:sz w:val="26"/>
      <w:szCs w:val="26"/>
    </w:rPr>
  </w:style>
  <w:style w:type="character" w:styleId="FontStyle47" w:customStyle="1">
    <w:name w:val="Font Style47"/>
    <w:qFormat/>
    <w:rsid w:val="00ad3b52"/>
    <w:rPr>
      <w:rFonts w:ascii="Times New Roman" w:hAnsi="Times New Roman" w:cs="Times New Roman"/>
      <w:sz w:val="26"/>
      <w:szCs w:val="26"/>
    </w:rPr>
  </w:style>
  <w:style w:type="character" w:styleId="FontStyle49" w:customStyle="1">
    <w:name w:val="Font Style49"/>
    <w:qFormat/>
    <w:rsid w:val="00ad3b52"/>
    <w:rPr>
      <w:rFonts w:ascii="Times New Roman" w:hAnsi="Times New Roman" w:cs="Times New Roman"/>
      <w:sz w:val="26"/>
      <w:szCs w:val="26"/>
    </w:rPr>
  </w:style>
  <w:style w:type="character" w:styleId="Style19" w:customStyle="1">
    <w:name w:val="Основной текст с отступом Знак"/>
    <w:link w:val="af0"/>
    <w:uiPriority w:val="99"/>
    <w:semiHidden/>
    <w:qFormat/>
    <w:locked/>
    <w:rsid w:val="00037f40"/>
    <w:rPr>
      <w:rFonts w:ascii="TimesET" w:hAnsi="TimesET" w:eastAsia="Times New Roman"/>
      <w:sz w:val="28"/>
    </w:rPr>
  </w:style>
  <w:style w:type="character" w:styleId="1" w:customStyle="1">
    <w:name w:val="Основной текст с отступом Знак1"/>
    <w:uiPriority w:val="99"/>
    <w:semiHidden/>
    <w:qFormat/>
    <w:rsid w:val="00037f40"/>
    <w:rPr>
      <w:rFonts w:ascii="Calibri" w:hAnsi="Calibri" w:eastAsia="Calibri" w:cs="Times New Roman"/>
    </w:rPr>
  </w:style>
  <w:style w:type="character" w:styleId="Strong">
    <w:name w:val="Strong"/>
    <w:uiPriority w:val="22"/>
    <w:qFormat/>
    <w:rsid w:val="0056006c"/>
    <w:rPr>
      <w:b/>
      <w:bCs/>
    </w:rPr>
  </w:style>
  <w:style w:type="character" w:styleId="Style20" w:customStyle="1">
    <w:name w:val="Абзац списка Знак"/>
    <w:link w:val="ad"/>
    <w:uiPriority w:val="34"/>
    <w:qFormat/>
    <w:locked/>
    <w:rsid w:val="008a0993"/>
    <w:rPr>
      <w:sz w:val="22"/>
      <w:szCs w:val="22"/>
      <w:lang w:eastAsia="en-US"/>
    </w:rPr>
  </w:style>
  <w:style w:type="character" w:styleId="ListLabel1">
    <w:name w:val="ListLabel 1"/>
    <w:qFormat/>
    <w:rPr>
      <w:rFonts w:cs="Courier New"/>
    </w:rPr>
  </w:style>
  <w:style w:type="character" w:styleId="ListLabel2">
    <w:name w:val="ListLabel 2"/>
    <w:qFormat/>
    <w:rPr>
      <w:rFonts w:cs="Courier New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Courier New"/>
    </w:rPr>
  </w:style>
  <w:style w:type="character" w:styleId="ListLabel5">
    <w:name w:val="ListLabel 5"/>
    <w:qFormat/>
    <w:rPr>
      <w:rFonts w:cs="Courier New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Courier New"/>
    </w:rPr>
  </w:style>
  <w:style w:type="character" w:styleId="ListLabel8">
    <w:name w:val="ListLabel 8"/>
    <w:qFormat/>
    <w:rPr>
      <w:rFonts w:cs="Courier New"/>
    </w:rPr>
  </w:style>
  <w:style w:type="character" w:styleId="ListLabel9">
    <w:name w:val="ListLabel 9"/>
    <w:qFormat/>
    <w:rPr>
      <w:rFonts w:ascii="Times New Roman" w:hAnsi="Times New Roman"/>
      <w:sz w:val="24"/>
    </w:rPr>
  </w:style>
  <w:style w:type="character" w:styleId="ListLabel10">
    <w:name w:val="ListLabel 10"/>
    <w:qFormat/>
    <w:rPr>
      <w:rFonts w:ascii="Times New Roman" w:hAnsi="Times New Roman"/>
      <w:b/>
      <w:i w:val="false"/>
      <w:sz w:val="24"/>
    </w:rPr>
  </w:style>
  <w:style w:type="character" w:styleId="Style21">
    <w:name w:val="Символ сноски"/>
    <w:qFormat/>
    <w:rPr/>
  </w:style>
  <w:style w:type="character" w:styleId="Style22">
    <w:name w:val="Привязка концевой сноски"/>
    <w:rPr>
      <w:vertAlign w:val="superscript"/>
    </w:rPr>
  </w:style>
  <w:style w:type="character" w:styleId="Style23">
    <w:name w:val="Символ концевой сноски"/>
    <w:qFormat/>
    <w:rPr/>
  </w:style>
  <w:style w:type="character" w:styleId="ListLabel11">
    <w:name w:val="ListLabel 11"/>
    <w:qFormat/>
    <w:rPr>
      <w:rFonts w:ascii="Times New Roman" w:hAnsi="Times New Roman" w:cs="Symbol"/>
      <w:sz w:val="24"/>
    </w:rPr>
  </w:style>
  <w:style w:type="character" w:styleId="ListLabel12">
    <w:name w:val="ListLabel 12"/>
    <w:qFormat/>
    <w:rPr>
      <w:rFonts w:cs="Courier New"/>
    </w:rPr>
  </w:style>
  <w:style w:type="character" w:styleId="ListLabel13">
    <w:name w:val="ListLabel 13"/>
    <w:qFormat/>
    <w:rPr>
      <w:rFonts w:cs="Wingdings"/>
    </w:rPr>
  </w:style>
  <w:style w:type="character" w:styleId="ListLabel14">
    <w:name w:val="ListLabel 14"/>
    <w:qFormat/>
    <w:rPr>
      <w:rFonts w:cs="Symbol"/>
    </w:rPr>
  </w:style>
  <w:style w:type="character" w:styleId="ListLabel15">
    <w:name w:val="ListLabel 15"/>
    <w:qFormat/>
    <w:rPr>
      <w:rFonts w:cs="Courier New"/>
    </w:rPr>
  </w:style>
  <w:style w:type="character" w:styleId="ListLabel16">
    <w:name w:val="ListLabel 16"/>
    <w:qFormat/>
    <w:rPr>
      <w:rFonts w:cs="Wingdings"/>
    </w:rPr>
  </w:style>
  <w:style w:type="character" w:styleId="ListLabel17">
    <w:name w:val="ListLabel 17"/>
    <w:qFormat/>
    <w:rPr>
      <w:rFonts w:cs="Symbol"/>
    </w:rPr>
  </w:style>
  <w:style w:type="character" w:styleId="ListLabel18">
    <w:name w:val="ListLabel 18"/>
    <w:qFormat/>
    <w:rPr>
      <w:rFonts w:cs="Courier New"/>
    </w:rPr>
  </w:style>
  <w:style w:type="character" w:styleId="ListLabel19">
    <w:name w:val="ListLabel 19"/>
    <w:qFormat/>
    <w:rPr>
      <w:rFonts w:cs="Wingdings"/>
    </w:rPr>
  </w:style>
  <w:style w:type="character" w:styleId="ListLabel20">
    <w:name w:val="ListLabel 20"/>
    <w:qFormat/>
    <w:rPr>
      <w:rFonts w:cs="Symbol"/>
    </w:rPr>
  </w:style>
  <w:style w:type="character" w:styleId="ListLabel21">
    <w:name w:val="ListLabel 21"/>
    <w:qFormat/>
    <w:rPr>
      <w:rFonts w:cs="Wingdings"/>
    </w:rPr>
  </w:style>
  <w:style w:type="character" w:styleId="ListLabel22">
    <w:name w:val="ListLabel 22"/>
    <w:qFormat/>
    <w:rPr>
      <w:rFonts w:cs="Symbol"/>
    </w:rPr>
  </w:style>
  <w:style w:type="character" w:styleId="ListLabel23">
    <w:name w:val="ListLabel 23"/>
    <w:qFormat/>
    <w:rPr>
      <w:rFonts w:cs="Courier New"/>
    </w:rPr>
  </w:style>
  <w:style w:type="character" w:styleId="ListLabel24">
    <w:name w:val="ListLabel 24"/>
    <w:qFormat/>
    <w:rPr>
      <w:rFonts w:cs="Wingdings"/>
    </w:rPr>
  </w:style>
  <w:style w:type="character" w:styleId="ListLabel25">
    <w:name w:val="ListLabel 25"/>
    <w:qFormat/>
    <w:rPr>
      <w:rFonts w:cs="Symbol"/>
    </w:rPr>
  </w:style>
  <w:style w:type="character" w:styleId="ListLabel26">
    <w:name w:val="ListLabel 26"/>
    <w:qFormat/>
    <w:rPr>
      <w:rFonts w:cs="Courier New"/>
    </w:rPr>
  </w:style>
  <w:style w:type="character" w:styleId="ListLabel27">
    <w:name w:val="ListLabel 27"/>
    <w:qFormat/>
    <w:rPr>
      <w:rFonts w:cs="Wingdings"/>
    </w:rPr>
  </w:style>
  <w:style w:type="character" w:styleId="ListLabel28">
    <w:name w:val="ListLabel 28"/>
    <w:qFormat/>
    <w:rPr>
      <w:rFonts w:ascii="Times New Roman" w:hAnsi="Times New Roman" w:cs="Symbol"/>
      <w:sz w:val="24"/>
    </w:rPr>
  </w:style>
  <w:style w:type="character" w:styleId="ListLabel29">
    <w:name w:val="ListLabel 29"/>
    <w:qFormat/>
    <w:rPr>
      <w:rFonts w:cs="Courier New"/>
    </w:rPr>
  </w:style>
  <w:style w:type="character" w:styleId="ListLabel30">
    <w:name w:val="ListLabel 30"/>
    <w:qFormat/>
    <w:rPr>
      <w:rFonts w:cs="Wingdings"/>
    </w:rPr>
  </w:style>
  <w:style w:type="character" w:styleId="ListLabel31">
    <w:name w:val="ListLabel 31"/>
    <w:qFormat/>
    <w:rPr>
      <w:rFonts w:cs="Symbol"/>
    </w:rPr>
  </w:style>
  <w:style w:type="character" w:styleId="ListLabel32">
    <w:name w:val="ListLabel 32"/>
    <w:qFormat/>
    <w:rPr>
      <w:rFonts w:cs="Courier New"/>
    </w:rPr>
  </w:style>
  <w:style w:type="character" w:styleId="ListLabel33">
    <w:name w:val="ListLabel 33"/>
    <w:qFormat/>
    <w:rPr>
      <w:rFonts w:cs="Wingdings"/>
    </w:rPr>
  </w:style>
  <w:style w:type="character" w:styleId="ListLabel34">
    <w:name w:val="ListLabel 34"/>
    <w:qFormat/>
    <w:rPr>
      <w:rFonts w:cs="Symbol"/>
    </w:rPr>
  </w:style>
  <w:style w:type="character" w:styleId="ListLabel35">
    <w:name w:val="ListLabel 35"/>
    <w:qFormat/>
    <w:rPr>
      <w:rFonts w:cs="Courier New"/>
    </w:rPr>
  </w:style>
  <w:style w:type="character" w:styleId="ListLabel36">
    <w:name w:val="ListLabel 36"/>
    <w:qFormat/>
    <w:rPr>
      <w:rFonts w:cs="Wingdings"/>
    </w:rPr>
  </w:style>
  <w:style w:type="character" w:styleId="ListLabel37">
    <w:name w:val="ListLabel 37"/>
    <w:qFormat/>
    <w:rPr>
      <w:rFonts w:ascii="Times New Roman" w:hAnsi="Times New Roman" w:cs="Symbol"/>
      <w:sz w:val="24"/>
    </w:rPr>
  </w:style>
  <w:style w:type="character" w:styleId="ListLabel38">
    <w:name w:val="ListLabel 38"/>
    <w:qFormat/>
    <w:rPr>
      <w:rFonts w:ascii="Times New Roman" w:hAnsi="Times New Roman"/>
      <w:b/>
      <w:i w:val="false"/>
      <w:sz w:val="24"/>
    </w:rPr>
  </w:style>
  <w:style w:type="paragraph" w:styleId="Style24">
    <w:name w:val="Заголовок"/>
    <w:basedOn w:val="Normal"/>
    <w:next w:val="Style25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25">
    <w:name w:val="Body Text"/>
    <w:basedOn w:val="Normal"/>
    <w:pPr>
      <w:spacing w:lineRule="auto" w:line="276" w:before="0" w:after="140"/>
    </w:pPr>
    <w:rPr/>
  </w:style>
  <w:style w:type="paragraph" w:styleId="Style26">
    <w:name w:val="List"/>
    <w:basedOn w:val="Style25"/>
    <w:pPr/>
    <w:rPr>
      <w:rFonts w:cs="Lohit Devanagari"/>
    </w:rPr>
  </w:style>
  <w:style w:type="paragraph" w:styleId="Style27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28">
    <w:name w:val="Указатель"/>
    <w:basedOn w:val="Normal"/>
    <w:qFormat/>
    <w:pPr>
      <w:suppressLineNumbers/>
    </w:pPr>
    <w:rPr>
      <w:rFonts w:cs="Lohit Devanagari"/>
    </w:rPr>
  </w:style>
  <w:style w:type="paragraph" w:styleId="NormalWeb">
    <w:name w:val="Normal (Web)"/>
    <w:basedOn w:val="Normal"/>
    <w:link w:val="a4"/>
    <w:uiPriority w:val="99"/>
    <w:unhideWhenUsed/>
    <w:qFormat/>
    <w:rsid w:val="006e6470"/>
    <w:pPr>
      <w:spacing w:lineRule="auto" w:line="240" w:beforeAutospacing="1" w:afterAutospacing="1"/>
    </w:pPr>
    <w:rPr>
      <w:rFonts w:ascii="Times New Roman" w:hAnsi="Times New Roman" w:eastAsia="Times New Roman"/>
      <w:sz w:val="24"/>
      <w:szCs w:val="24"/>
      <w:lang w:eastAsia="ru-RU"/>
    </w:rPr>
  </w:style>
  <w:style w:type="paragraph" w:styleId="Annotationtext">
    <w:name w:val="annotation text"/>
    <w:basedOn w:val="Normal"/>
    <w:link w:val="a8"/>
    <w:uiPriority w:val="99"/>
    <w:semiHidden/>
    <w:unhideWhenUsed/>
    <w:qFormat/>
    <w:rsid w:val="006f13a9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link w:val="aa"/>
    <w:uiPriority w:val="99"/>
    <w:semiHidden/>
    <w:unhideWhenUsed/>
    <w:qFormat/>
    <w:rsid w:val="006f13a9"/>
    <w:pPr/>
    <w:rPr>
      <w:b/>
      <w:bCs/>
    </w:rPr>
  </w:style>
  <w:style w:type="paragraph" w:styleId="BalloonText">
    <w:name w:val="Balloon Text"/>
    <w:basedOn w:val="Normal"/>
    <w:link w:val="ac"/>
    <w:uiPriority w:val="99"/>
    <w:semiHidden/>
    <w:unhideWhenUsed/>
    <w:qFormat/>
    <w:rsid w:val="006f13a9"/>
    <w:pPr>
      <w:spacing w:lineRule="auto" w:line="240" w:before="0" w:after="0"/>
    </w:pPr>
    <w:rPr>
      <w:rFonts w:ascii="Tahoma" w:hAnsi="Tahoma"/>
      <w:sz w:val="16"/>
      <w:szCs w:val="16"/>
    </w:rPr>
  </w:style>
  <w:style w:type="paragraph" w:styleId="ListParagraph">
    <w:name w:val="List Paragraph"/>
    <w:basedOn w:val="Normal"/>
    <w:link w:val="ae"/>
    <w:uiPriority w:val="34"/>
    <w:qFormat/>
    <w:rsid w:val="006f13a9"/>
    <w:pPr>
      <w:spacing w:before="0" w:after="200"/>
      <w:ind w:left="720" w:hanging="0"/>
      <w:contextualSpacing/>
    </w:pPr>
    <w:rPr/>
  </w:style>
  <w:style w:type="paragraph" w:styleId="Style29">
    <w:name w:val="Body Text Indent"/>
    <w:basedOn w:val="Normal"/>
    <w:link w:val="af"/>
    <w:uiPriority w:val="99"/>
    <w:semiHidden/>
    <w:unhideWhenUsed/>
    <w:rsid w:val="00037f40"/>
    <w:pPr>
      <w:tabs>
        <w:tab w:val="left" w:pos="643" w:leader="none"/>
      </w:tabs>
      <w:spacing w:lineRule="atLeast" w:line="360" w:before="0" w:after="0"/>
      <w:ind w:firstLine="482"/>
      <w:jc w:val="both"/>
    </w:pPr>
    <w:rPr>
      <w:rFonts w:ascii="TimesET" w:hAnsi="TimesET" w:eastAsia="Times New Roman"/>
      <w:sz w:val="28"/>
      <w:szCs w:val="20"/>
    </w:rPr>
  </w:style>
  <w:style w:type="paragraph" w:styleId="Style30">
    <w:name w:val="Footnote Text"/>
    <w:basedOn w:val="Normal"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otnotes" Target="footnotes.xml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9029271E-1BCD-4708-92FB-9BCA9AE22D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Application>LibreOffice/6.0.7.3$Linux_X86_64 LibreOffice_project/00m0$Build-3</Application>
  <Pages>18</Pages>
  <Words>4206</Words>
  <Characters>30497</Characters>
  <CharactersWithSpaces>34350</CharactersWithSpaces>
  <Paragraphs>399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2019-10-19T05:07:00Z</dcterms:created>
  <dc:creator>ilaltdinova</dc:creator>
  <dc:description/>
  <dc:language>ru-RU</dc:language>
  <cp:lastModifiedBy/>
  <dcterms:modified xsi:type="dcterms:W3CDTF">2020-07-24T11:56:35Z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Krokoz™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